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B8A84" w14:textId="55ADAFC9" w:rsidR="00C84964" w:rsidRPr="00C37A10" w:rsidRDefault="00C84964" w:rsidP="00C84964">
      <w:pPr>
        <w:ind w:left="720" w:firstLine="720"/>
        <w:jc w:val="right"/>
        <w:rPr>
          <w:rFonts w:ascii="Lato" w:hAnsi="Lato" w:cs="Times New Roman"/>
          <w:b/>
          <w:sz w:val="20"/>
          <w:szCs w:val="20"/>
        </w:rPr>
      </w:pPr>
      <w:r w:rsidRPr="00C37A10">
        <w:rPr>
          <w:rFonts w:ascii="Lato" w:hAnsi="Lato"/>
          <w:b/>
          <w:sz w:val="20"/>
          <w:szCs w:val="20"/>
        </w:rPr>
        <w:t>Załącznik nr 1 do SWZ</w:t>
      </w:r>
    </w:p>
    <w:p w14:paraId="27FFF508" w14:textId="224EBB13" w:rsidR="000800C3" w:rsidRPr="00C37A10" w:rsidRDefault="000800C3" w:rsidP="000800C3">
      <w:pPr>
        <w:ind w:left="720" w:firstLine="720"/>
        <w:jc w:val="center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b/>
          <w:sz w:val="20"/>
          <w:szCs w:val="20"/>
        </w:rPr>
        <w:t>Opis przedmiotu zamówienia.</w:t>
      </w:r>
    </w:p>
    <w:p w14:paraId="2167F938" w14:textId="77777777" w:rsidR="000800C3" w:rsidRPr="00C37A10" w:rsidRDefault="000800C3" w:rsidP="000800C3">
      <w:pPr>
        <w:rPr>
          <w:rFonts w:ascii="Lato" w:hAnsi="Lato" w:cs="Times New Roman"/>
          <w:sz w:val="20"/>
          <w:szCs w:val="20"/>
        </w:rPr>
      </w:pPr>
    </w:p>
    <w:p w14:paraId="434B1803" w14:textId="77777777" w:rsidR="00AE5EAE" w:rsidRPr="00C37A10" w:rsidRDefault="00AE5EAE" w:rsidP="00AE5EAE">
      <w:pPr>
        <w:pStyle w:val="Nagwek1"/>
        <w:rPr>
          <w:rFonts w:ascii="Lato" w:hAnsi="Lato" w:cs="Times New Roman"/>
          <w:sz w:val="20"/>
          <w:szCs w:val="20"/>
        </w:rPr>
      </w:pPr>
      <w:bookmarkStart w:id="0" w:name="_gjdgxs" w:colFirst="0" w:colLast="0"/>
      <w:bookmarkStart w:id="1" w:name="_Toc517698222"/>
      <w:bookmarkEnd w:id="0"/>
      <w:r w:rsidRPr="00C37A10">
        <w:rPr>
          <w:rFonts w:ascii="Lato" w:hAnsi="Lato" w:cs="Times New Roman"/>
          <w:sz w:val="20"/>
          <w:szCs w:val="20"/>
        </w:rPr>
        <w:t>Wstęp</w:t>
      </w:r>
      <w:bookmarkEnd w:id="1"/>
    </w:p>
    <w:p w14:paraId="32E5071A" w14:textId="77777777" w:rsidR="00AE5EAE" w:rsidRPr="00C37A10" w:rsidRDefault="00AE5EAE" w:rsidP="00AE5EAE">
      <w:pPr>
        <w:rPr>
          <w:rFonts w:ascii="Lato" w:hAnsi="Lato"/>
          <w:sz w:val="20"/>
          <w:szCs w:val="20"/>
        </w:rPr>
      </w:pPr>
      <w:r w:rsidRPr="00C37A10">
        <w:rPr>
          <w:rFonts w:ascii="Lato" w:hAnsi="Lato"/>
          <w:sz w:val="20"/>
          <w:szCs w:val="20"/>
        </w:rPr>
        <w:t>Przedmiotem zamówienia jest</w:t>
      </w:r>
      <w:r w:rsidRPr="00C37A10">
        <w:rPr>
          <w:rFonts w:ascii="Lato" w:hAnsi="Lato" w:cs="Times New Roman"/>
          <w:sz w:val="20"/>
          <w:szCs w:val="20"/>
        </w:rPr>
        <w:t>:</w:t>
      </w:r>
      <w:r w:rsidRPr="00C37A10">
        <w:rPr>
          <w:rFonts w:ascii="Lato" w:hAnsi="Lato"/>
          <w:sz w:val="20"/>
          <w:szCs w:val="20"/>
        </w:rPr>
        <w:t xml:space="preserve"> </w:t>
      </w:r>
      <w:bookmarkStart w:id="2" w:name="_Hlk196463973"/>
    </w:p>
    <w:p w14:paraId="174E4C63" w14:textId="027585AF" w:rsidR="00AE5EAE" w:rsidRPr="00C37A10" w:rsidRDefault="00AE5EAE" w:rsidP="00AE5EAE">
      <w:pPr>
        <w:pStyle w:val="Tekstpodstawowywcity"/>
        <w:widowControl/>
        <w:numPr>
          <w:ilvl w:val="0"/>
          <w:numId w:val="1"/>
        </w:numPr>
        <w:suppressAutoHyphens w:val="0"/>
        <w:autoSpaceDE/>
        <w:autoSpaceDN w:val="0"/>
        <w:spacing w:after="0"/>
        <w:ind w:left="714" w:hanging="357"/>
        <w:rPr>
          <w:rFonts w:ascii="Lato" w:hAnsi="Lato" w:cs="Times New Roman"/>
          <w:sz w:val="20"/>
        </w:rPr>
      </w:pPr>
      <w:r w:rsidRPr="00C37A10">
        <w:rPr>
          <w:rFonts w:ascii="Lato" w:hAnsi="Lato" w:cs="Times New Roman"/>
          <w:sz w:val="20"/>
        </w:rPr>
        <w:t>przeniesienie na rzecz Zamawiającego własności serwerów i macierzy dyskowych na potrzeby modernizacji systemu Vmware Ministerstwa Aktywów Państwowych, zwanych dalej „Sprzętem”;</w:t>
      </w:r>
    </w:p>
    <w:p w14:paraId="31D52092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wykonanie usług instalacji nowego Sprzętu w szafie przemysłowej;</w:t>
      </w:r>
    </w:p>
    <w:p w14:paraId="584F5A21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wykonanie okablowania energetycznego oraz sieciowego Sprzętu;</w:t>
      </w:r>
    </w:p>
    <w:p w14:paraId="77417CB3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instalacja najnowszej, rekomendowanej przez producenta wersji oprogramowania sprzętowego na Sprzęcie;</w:t>
      </w:r>
    </w:p>
    <w:p w14:paraId="2659E1A1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wykonanie instalacji i konfiguracji systemu Vmware, w wersji rekomendowanej na nowym Sprzęcie;</w:t>
      </w:r>
    </w:p>
    <w:p w14:paraId="6131A80A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wykonanie usługi migracji danych z systemu Vmware posiadanego przez Zamawiającego na nowy Sprzęt;</w:t>
      </w:r>
    </w:p>
    <w:p w14:paraId="49087D92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przeprowadzenie instruktażu personelu Zamawiającego z obsługi dostarczonego Sprzętu i jego funkcjonalności w liczbie nie mniejszej niż 1 dzień, 8 godzin na dzień, </w:t>
      </w:r>
      <w:r w:rsidRPr="00C37A10">
        <w:rPr>
          <w:rFonts w:ascii="Lato" w:hAnsi="Lato" w:cs="Times New Roman"/>
          <w:sz w:val="20"/>
          <w:szCs w:val="20"/>
        </w:rPr>
        <w:br/>
        <w:t>w siedzibie Zamawiającego lub zdalnie;</w:t>
      </w:r>
    </w:p>
    <w:p w14:paraId="65C62021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bookmarkStart w:id="3" w:name="_Hlk196464278"/>
      <w:r w:rsidRPr="00C37A10">
        <w:rPr>
          <w:rFonts w:ascii="Lato" w:hAnsi="Lato" w:cs="Times New Roman"/>
          <w:sz w:val="20"/>
          <w:szCs w:val="20"/>
        </w:rPr>
        <w:t>zapewnienie gwarancji na wykonaną usługę konfiguracji na okres nie mniej niż 3 miesiące;</w:t>
      </w:r>
    </w:p>
    <w:bookmarkEnd w:id="3"/>
    <w:p w14:paraId="7CCB86DF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świadczenia na rzecz Zamawiającego </w:t>
      </w:r>
      <w:bookmarkStart w:id="4" w:name="_Hlk194647654"/>
      <w:r w:rsidRPr="00C37A10">
        <w:rPr>
          <w:rFonts w:ascii="Lato" w:hAnsi="Lato" w:cs="Times New Roman"/>
          <w:sz w:val="20"/>
          <w:szCs w:val="20"/>
        </w:rPr>
        <w:t xml:space="preserve">usługi </w:t>
      </w:r>
      <w:proofErr w:type="spellStart"/>
      <w:r w:rsidRPr="00C37A10">
        <w:rPr>
          <w:rFonts w:ascii="Lato" w:hAnsi="Lato" w:cs="Times New Roman"/>
          <w:sz w:val="20"/>
          <w:szCs w:val="20"/>
        </w:rPr>
        <w:t>Keep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</w:t>
      </w:r>
      <w:proofErr w:type="spellStart"/>
      <w:r w:rsidRPr="00C37A10">
        <w:rPr>
          <w:rFonts w:ascii="Lato" w:hAnsi="Lato" w:cs="Times New Roman"/>
          <w:sz w:val="20"/>
          <w:szCs w:val="20"/>
        </w:rPr>
        <w:t>Your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Hard Drive (zachowanie uszkodzonego dysku twardego) </w:t>
      </w:r>
      <w:bookmarkEnd w:id="4"/>
      <w:r w:rsidRPr="00C37A10">
        <w:rPr>
          <w:rFonts w:ascii="Lato" w:hAnsi="Lato" w:cs="Times New Roman"/>
          <w:sz w:val="20"/>
          <w:szCs w:val="20"/>
        </w:rPr>
        <w:t>na okres 3 lat;</w:t>
      </w:r>
    </w:p>
    <w:p w14:paraId="27022701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instalacja systemu Vmware z posiadaną przez Zamawiającego licencją dla dostarczonego Sprzętu zgodnie z poniższą tabelą;</w:t>
      </w:r>
    </w:p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480"/>
        <w:gridCol w:w="6180"/>
        <w:gridCol w:w="820"/>
      </w:tblGrid>
      <w:tr w:rsidR="00AE5EAE" w:rsidRPr="00C37A10" w14:paraId="2F549F14" w14:textId="77777777" w:rsidTr="00AB0646">
        <w:trPr>
          <w:trHeight w:val="28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D9E2F3" w:fill="D9E2F3"/>
            <w:noWrap/>
            <w:vAlign w:val="bottom"/>
            <w:hideMark/>
          </w:tcPr>
          <w:bookmarkEnd w:id="2"/>
          <w:p w14:paraId="189F0CEF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D9E2F3" w:fill="D9E2F3"/>
            <w:noWrap/>
            <w:vAlign w:val="bottom"/>
            <w:hideMark/>
          </w:tcPr>
          <w:p w14:paraId="28BFEFD0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 xml:space="preserve">Part </w:t>
            </w:r>
            <w:proofErr w:type="spellStart"/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Number</w:t>
            </w:r>
            <w:proofErr w:type="spellEnd"/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E2F3" w:fill="D9E2F3"/>
            <w:noWrap/>
            <w:vAlign w:val="bottom"/>
            <w:hideMark/>
          </w:tcPr>
          <w:p w14:paraId="665FC0DF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Produkt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E2F3" w:fill="D9E2F3"/>
            <w:noWrap/>
            <w:vAlign w:val="bottom"/>
            <w:hideMark/>
          </w:tcPr>
          <w:p w14:paraId="027721B4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AE5EAE" w:rsidRPr="00C37A10" w14:paraId="695ECB66" w14:textId="77777777" w:rsidTr="00AB0646">
        <w:trPr>
          <w:trHeight w:val="285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C678DF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4C6E7"/>
            <w:vAlign w:val="center"/>
            <w:hideMark/>
          </w:tcPr>
          <w:p w14:paraId="0BBD58EE" w14:textId="77777777" w:rsidR="00AE5EAE" w:rsidRPr="00C37A10" w:rsidRDefault="00AE5EAE" w:rsidP="00AB0646">
            <w:pPr>
              <w:rPr>
                <w:rFonts w:ascii="Lato" w:hAnsi="Lato" w:cs="Times New Roman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sz w:val="20"/>
                <w:szCs w:val="20"/>
                <w:lang w:eastAsia="pl-PL"/>
              </w:rPr>
              <w:t>Vmware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4C6E7"/>
            <w:vAlign w:val="center"/>
            <w:hideMark/>
          </w:tcPr>
          <w:p w14:paraId="7A095808" w14:textId="77777777" w:rsidR="00AE5EAE" w:rsidRPr="00C37A10" w:rsidRDefault="00AE5EAE" w:rsidP="00AB0646">
            <w:pPr>
              <w:rPr>
                <w:rFonts w:ascii="Lato" w:hAnsi="Lato" w:cs="Times New Roman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4C6E7"/>
            <w:noWrap/>
            <w:vAlign w:val="center"/>
            <w:hideMark/>
          </w:tcPr>
          <w:p w14:paraId="5383263D" w14:textId="77777777" w:rsidR="00AE5EAE" w:rsidRPr="00C37A10" w:rsidRDefault="00AE5EAE" w:rsidP="00AB0646">
            <w:pPr>
              <w:jc w:val="center"/>
              <w:rPr>
                <w:rFonts w:ascii="Lato" w:hAnsi="Lato" w:cs="Times New Roman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AE5EAE" w:rsidRPr="00C37A10" w14:paraId="5B0323A4" w14:textId="77777777" w:rsidTr="00AB0646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4ADEEB4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CE4D6"/>
            <w:noWrap/>
            <w:vAlign w:val="center"/>
            <w:hideMark/>
          </w:tcPr>
          <w:p w14:paraId="4FAB69B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VCF-VSP-STD-8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04B60D" w14:textId="77777777" w:rsidR="00AE5EAE" w:rsidRPr="00C37A10" w:rsidRDefault="00AE5EAE" w:rsidP="00AB0646">
            <w:pPr>
              <w:jc w:val="center"/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VMware vSphere Standard 8  - Per Core</w:t>
            </w:r>
          </w:p>
        </w:tc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C8FF9F" w14:textId="77777777" w:rsidR="00AE5EAE" w:rsidRPr="00C37A10" w:rsidRDefault="00AE5EAE" w:rsidP="00AB0646">
            <w:pPr>
              <w:jc w:val="center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128</w:t>
            </w:r>
          </w:p>
        </w:tc>
      </w:tr>
    </w:tbl>
    <w:p w14:paraId="227B4337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</w:p>
    <w:p w14:paraId="6DCE5963" w14:textId="77777777" w:rsidR="00AE5EAE" w:rsidRPr="00C37A10" w:rsidRDefault="00AE5EAE" w:rsidP="00AE5EAE">
      <w:pPr>
        <w:pStyle w:val="Akapitzlist"/>
        <w:numPr>
          <w:ilvl w:val="0"/>
          <w:numId w:val="1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wykonanie dokumentacji powdrożeniowej w języku polskim, w formie papierowej </w:t>
      </w:r>
      <w:r w:rsidRPr="00C37A10">
        <w:rPr>
          <w:rFonts w:ascii="Lato" w:hAnsi="Lato" w:cs="Times New Roman"/>
          <w:sz w:val="20"/>
          <w:szCs w:val="20"/>
        </w:rPr>
        <w:br/>
        <w:t>lub elektronicznej.</w:t>
      </w:r>
    </w:p>
    <w:p w14:paraId="204824F3" w14:textId="77777777" w:rsidR="00AE5EAE" w:rsidRPr="00C37A10" w:rsidRDefault="00AE5EAE" w:rsidP="00AE5EAE">
      <w:pPr>
        <w:pStyle w:val="Akapitzlist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    </w:t>
      </w:r>
    </w:p>
    <w:p w14:paraId="0ABE4D08" w14:textId="77777777" w:rsidR="00AE5EAE" w:rsidRPr="00C37A10" w:rsidRDefault="00AE5EAE" w:rsidP="00AE5EAE">
      <w:pPr>
        <w:pStyle w:val="Nagwek3"/>
        <w:rPr>
          <w:rFonts w:ascii="Lato" w:hAnsi="Lato" w:cs="Times New Roman"/>
          <w:sz w:val="20"/>
          <w:szCs w:val="20"/>
        </w:rPr>
      </w:pPr>
      <w:bookmarkStart w:id="5" w:name="_Toc517698227"/>
      <w:r w:rsidRPr="00C37A10">
        <w:rPr>
          <w:rFonts w:ascii="Lato" w:hAnsi="Lato" w:cs="Times New Roman"/>
          <w:sz w:val="20"/>
          <w:szCs w:val="20"/>
        </w:rPr>
        <w:t>Dodatkowe wymagania odnośnie Sprzętu:</w:t>
      </w:r>
      <w:bookmarkEnd w:id="5"/>
    </w:p>
    <w:p w14:paraId="419DDBB6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Oferowany Sprzęt musi być fabrycznie nowy i pochodzić z legalnego kanału sprzedaży producenta na rynek polski.</w:t>
      </w:r>
    </w:p>
    <w:p w14:paraId="6002AA9C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Oferowany Sprzęt musi być nie starszy niż 6 miesięcy od ogłoszenia przetargu.</w:t>
      </w:r>
    </w:p>
    <w:p w14:paraId="6158062D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Sprzęt musi posiadać co najmniej 36 miesięczną gwarancję producenta.</w:t>
      </w:r>
    </w:p>
    <w:p w14:paraId="08F1CE95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Musi istnieć możliwość zgłaszania uszkodzenia Sprzętu w trybie 5x8xNBD bezpośrednio do producenta.</w:t>
      </w:r>
    </w:p>
    <w:p w14:paraId="3F8EE2A0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Sprzęt musi być wyprodukowany zgodnie z normą jakości ISO 9001:2000 lub normą równoważną.</w:t>
      </w:r>
    </w:p>
    <w:p w14:paraId="6798EC50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Sprzęt i jego komponenty muszą być oznakowane przez producenta w taki sposób, aby możliwa była identyfikacja zarówno produktu jak i producenta.</w:t>
      </w:r>
    </w:p>
    <w:p w14:paraId="70AEB13F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Sprzęt musi być dostarczony Zamawiającemu w oryginalnych opakowaniach fabrycznych.</w:t>
      </w:r>
    </w:p>
    <w:p w14:paraId="78D2A536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bookmarkStart w:id="6" w:name="_Hlk196463729"/>
      <w:r w:rsidRPr="00C37A10">
        <w:rPr>
          <w:rFonts w:ascii="Lato" w:hAnsi="Lato" w:cs="Times New Roman"/>
          <w:sz w:val="20"/>
          <w:szCs w:val="20"/>
        </w:rPr>
        <w:t>Do Sprzętu musi być dostarczony komplet standardowej dokumentacji w formie papierowej lub elektronicznej. Ewentualnie musi być zapewniona możliwość uzyskania dostępu do takiej dokumentacji w postaci elektronicznej.</w:t>
      </w:r>
    </w:p>
    <w:bookmarkEnd w:id="6"/>
    <w:p w14:paraId="4418F50A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Sprzęt musi współpracować z siecią energetyczną o parametrach: 230 V ± 10%, 50 </w:t>
      </w:r>
      <w:proofErr w:type="spellStart"/>
      <w:r w:rsidRPr="00C37A10">
        <w:rPr>
          <w:rFonts w:ascii="Lato" w:hAnsi="Lato" w:cs="Times New Roman"/>
          <w:sz w:val="20"/>
          <w:szCs w:val="20"/>
        </w:rPr>
        <w:t>Hz</w:t>
      </w:r>
      <w:proofErr w:type="spellEnd"/>
      <w:r w:rsidRPr="00C37A10">
        <w:rPr>
          <w:rFonts w:ascii="Lato" w:hAnsi="Lato" w:cs="Times New Roman"/>
          <w:sz w:val="20"/>
          <w:szCs w:val="20"/>
        </w:rPr>
        <w:t>.</w:t>
      </w:r>
    </w:p>
    <w:p w14:paraId="0C7D542E" w14:textId="77777777" w:rsidR="00AE5EAE" w:rsidRPr="00C37A10" w:rsidRDefault="00AE5EAE" w:rsidP="00AE5EAE">
      <w:pPr>
        <w:pStyle w:val="Akapitzlist"/>
        <w:numPr>
          <w:ilvl w:val="0"/>
          <w:numId w:val="2"/>
        </w:numPr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Wykonawca dokona instalacji Sprzętu w standardowej szafie </w:t>
      </w:r>
      <w:proofErr w:type="spellStart"/>
      <w:r w:rsidRPr="00C37A10">
        <w:rPr>
          <w:rFonts w:ascii="Lato" w:hAnsi="Lato" w:cs="Times New Roman"/>
          <w:sz w:val="20"/>
          <w:szCs w:val="20"/>
        </w:rPr>
        <w:t>rack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w siedzibie Zamawiającego.</w:t>
      </w:r>
    </w:p>
    <w:p w14:paraId="3F13307E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lastRenderedPageBreak/>
        <w:t xml:space="preserve">Zamawiający poniżej przedstawia wykaz urządzeń fizycznych z podziałem na Datacenter/Cluster które, aktualnie wykorzystuje w środowisku Vmware i jest zarządzany przez </w:t>
      </w:r>
      <w:proofErr w:type="spellStart"/>
      <w:r w:rsidRPr="00C37A10">
        <w:rPr>
          <w:rFonts w:ascii="Lato" w:hAnsi="Lato" w:cs="Times New Roman"/>
          <w:sz w:val="20"/>
          <w:szCs w:val="20"/>
        </w:rPr>
        <w:t>vCenter</w:t>
      </w:r>
      <w:proofErr w:type="spellEnd"/>
      <w:r w:rsidRPr="00C37A10">
        <w:rPr>
          <w:rFonts w:ascii="Lato" w:hAnsi="Lato" w:cs="Times New Roman"/>
          <w:sz w:val="20"/>
          <w:szCs w:val="20"/>
        </w:rPr>
        <w:t>.</w:t>
      </w:r>
    </w:p>
    <w:p w14:paraId="5E382C0F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</w:p>
    <w:tbl>
      <w:tblPr>
        <w:tblW w:w="6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300"/>
        <w:gridCol w:w="1400"/>
        <w:gridCol w:w="1280"/>
      </w:tblGrid>
      <w:tr w:rsidR="00AE5EAE" w:rsidRPr="00C37A10" w14:paraId="0B84F29C" w14:textId="77777777" w:rsidTr="00AB0646">
        <w:trPr>
          <w:trHeight w:val="228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BFF36EF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Name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78EB2F7C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 xml:space="preserve">OS </w:t>
            </w:r>
            <w:proofErr w:type="spellStart"/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71899EE1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 xml:space="preserve">API </w:t>
            </w:r>
            <w:proofErr w:type="spellStart"/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7A1213D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Version</w:t>
            </w:r>
          </w:p>
        </w:tc>
      </w:tr>
      <w:tr w:rsidR="00AE5EAE" w:rsidRPr="00C37A10" w14:paraId="1D0F0E7C" w14:textId="77777777" w:rsidTr="00AB0646">
        <w:trPr>
          <w:trHeight w:val="2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0F29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VMware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vCenter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Server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E4C1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linux-x64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0BE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VirtualCenter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006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7.0.3</w:t>
            </w:r>
          </w:p>
        </w:tc>
      </w:tr>
    </w:tbl>
    <w:p w14:paraId="65AB79F2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</w:p>
    <w:p w14:paraId="7E723405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 </w:t>
      </w:r>
    </w:p>
    <w:tbl>
      <w:tblPr>
        <w:tblW w:w="99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1242"/>
        <w:gridCol w:w="1908"/>
        <w:gridCol w:w="1430"/>
        <w:gridCol w:w="549"/>
        <w:gridCol w:w="710"/>
        <w:gridCol w:w="951"/>
        <w:gridCol w:w="865"/>
        <w:gridCol w:w="1757"/>
      </w:tblGrid>
      <w:tr w:rsidR="00AE5EAE" w:rsidRPr="00C37A10" w14:paraId="1D972DD1" w14:textId="77777777" w:rsidTr="00AB0646">
        <w:trPr>
          <w:trHeight w:val="259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7E428E5C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color w:val="FFFFFF"/>
                <w:sz w:val="20"/>
                <w:szCs w:val="20"/>
                <w:lang w:eastAsia="pl-PL"/>
              </w:rPr>
              <w:t>Host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5A5C6B03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Datacenter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26823B37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Cluster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6D2680BF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CPU Model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926226F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# CPU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4703F0B0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 xml:space="preserve"># </w:t>
            </w:r>
            <w:proofErr w:type="spellStart"/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Cores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7D356D38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# Memory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05AC0305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Vendor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14:paraId="32FC8C17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Model</w:t>
            </w:r>
          </w:p>
        </w:tc>
      </w:tr>
      <w:tr w:rsidR="00AE5EAE" w:rsidRPr="00C37A10" w14:paraId="5C9EB403" w14:textId="77777777" w:rsidTr="00AB0646">
        <w:trPr>
          <w:trHeight w:val="25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56E2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0BE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93C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564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Intel(R) Xeon(R) CPU E5-2660 v4 @ 2.00GHz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5D38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2A7A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4AF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524 194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760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Dell Inc.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7AF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PowerEdge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T630</w:t>
            </w:r>
          </w:p>
        </w:tc>
      </w:tr>
      <w:tr w:rsidR="00AE5EAE" w:rsidRPr="00C37A10" w14:paraId="0F051098" w14:textId="77777777" w:rsidTr="00AB0646">
        <w:trPr>
          <w:trHeight w:val="25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BAF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9AC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9B1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9B6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Intel(R) Xeon(R) CPU E5-2660 v4 @ 2.00GHz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3E73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8ECE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442F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524 194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A6A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Dell Inc.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230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PowerEdge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T630</w:t>
            </w:r>
          </w:p>
        </w:tc>
      </w:tr>
      <w:tr w:rsidR="00AE5EAE" w:rsidRPr="00C37A10" w14:paraId="20A2937E" w14:textId="77777777" w:rsidTr="00AB0646">
        <w:trPr>
          <w:trHeight w:val="25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5D4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404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318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F735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Intel(R) Xeon(R) CPU E5-2660 v4 @ 2.00GHz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8B87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A498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19EF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524 192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C0E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Dell Inc.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8C3B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PowerEdge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T630</w:t>
            </w:r>
          </w:p>
        </w:tc>
      </w:tr>
      <w:tr w:rsidR="00AE5EAE" w:rsidRPr="00C37A10" w14:paraId="27B34A37" w14:textId="77777777" w:rsidTr="00AB0646">
        <w:trPr>
          <w:trHeight w:val="25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1D5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7BC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AEC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6A28D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Intel(R) Xeon(R) Silver 4215R CPU @ 3.20GHz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B7EA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6ACA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BEF7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65 213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060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Lenovo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6E39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ThinkSystem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SR650 -[7X06CTO1WW]-</w:t>
            </w:r>
          </w:p>
        </w:tc>
      </w:tr>
      <w:tr w:rsidR="00AE5EAE" w:rsidRPr="00C37A10" w14:paraId="598C86EB" w14:textId="77777777" w:rsidTr="00AB0646">
        <w:trPr>
          <w:trHeight w:val="259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DAB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D4A1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142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288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Intel(R) Xeon(R) Silver 4215R CPU @ 3.20GHz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9F03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FE40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8DA8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65 213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268B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Lenovo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8B6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ThinkSystem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SR650 -[7X06CTO1WW]-</w:t>
            </w:r>
          </w:p>
        </w:tc>
      </w:tr>
    </w:tbl>
    <w:p w14:paraId="7F20CE7E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 </w:t>
      </w:r>
    </w:p>
    <w:p w14:paraId="289EB1E9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Zamawiający poniżej przedstawił wykaz urządzeń </w:t>
      </w:r>
      <w:proofErr w:type="spellStart"/>
      <w:r w:rsidRPr="00C37A10">
        <w:rPr>
          <w:rFonts w:ascii="Lato" w:hAnsi="Lato" w:cs="Times New Roman"/>
          <w:sz w:val="20"/>
          <w:szCs w:val="20"/>
        </w:rPr>
        <w:t>vm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z podziałem na Datacenter/Cluster, które aktualnie wykorzystuje w środowisku Vmware. Urządzenia </w:t>
      </w:r>
      <w:proofErr w:type="spellStart"/>
      <w:r w:rsidRPr="00C37A10">
        <w:rPr>
          <w:rFonts w:ascii="Lato" w:hAnsi="Lato" w:cs="Times New Roman"/>
          <w:sz w:val="20"/>
          <w:szCs w:val="20"/>
        </w:rPr>
        <w:t>vm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wykazane będą podlegać migracji do nowego środowiska.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2080"/>
        <w:gridCol w:w="1720"/>
        <w:gridCol w:w="4680"/>
      </w:tblGrid>
      <w:tr w:rsidR="00AE5EAE" w:rsidRPr="00C37A10" w14:paraId="0EC7368D" w14:textId="77777777" w:rsidTr="00AB0646">
        <w:trPr>
          <w:trHeight w:val="2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6B1BEE1D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298AD0C3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Datacenter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4D7796FD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eastAsia="pl-PL"/>
              </w:rPr>
              <w:t>Cluster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14:paraId="7FE8530E" w14:textId="77777777" w:rsidR="00AE5EAE" w:rsidRPr="00C37A10" w:rsidRDefault="00AE5EAE" w:rsidP="00AB0646">
            <w:pPr>
              <w:rPr>
                <w:rFonts w:ascii="Lato" w:hAnsi="Lato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b/>
                <w:bCs/>
                <w:sz w:val="20"/>
                <w:szCs w:val="20"/>
                <w:lang w:val="en-US" w:eastAsia="pl-PL"/>
              </w:rPr>
              <w:t>OS according to the configuration file</w:t>
            </w:r>
          </w:p>
        </w:tc>
      </w:tr>
      <w:tr w:rsidR="00AE5EAE" w:rsidRPr="00C37A10" w14:paraId="1E0A8EEB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7972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3C30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Datacenter_2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FC9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836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SUSE Linux Enterprise</w:t>
            </w:r>
          </w:p>
        </w:tc>
      </w:tr>
      <w:tr w:rsidR="00AE5EAE" w:rsidRPr="00C37A10" w14:paraId="50A5B3F7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93B2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C5F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Datacenter_2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F3C1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12F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SUSE Linux Enterprise 11</w:t>
            </w:r>
          </w:p>
        </w:tc>
      </w:tr>
      <w:tr w:rsidR="00AE5EAE" w:rsidRPr="00C37A10" w14:paraId="4D34986E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F3B4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2C9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Datacenter_2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5B6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0B69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CentOS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E5EAE" w:rsidRPr="00C37A10" w14:paraId="246161E4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9344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699B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Datacenter_2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6DED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E74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60894566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2C2A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13E9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Datacenter_2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A48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831B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CentOS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E5EAE" w:rsidRPr="00C37A10" w14:paraId="650BB0BA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8522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F59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788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B8F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Red </w:t>
            </w: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Hat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Enterprise Linux </w:t>
            </w:r>
          </w:p>
        </w:tc>
      </w:tr>
      <w:tr w:rsidR="00AE5EAE" w:rsidRPr="00C37A10" w14:paraId="3BD5538F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C237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680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FF2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45C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</w:t>
            </w:r>
          </w:p>
        </w:tc>
      </w:tr>
      <w:tr w:rsidR="00AE5EAE" w:rsidRPr="00C37A10" w14:paraId="70D93E9A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693F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9569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0F91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1D8B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3F9701C0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835E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9CD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C3D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1A9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1D233E82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F5FF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09E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F40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90B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718A7275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B107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5566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0DA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E90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Ubuntu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Linux </w:t>
            </w:r>
          </w:p>
        </w:tc>
      </w:tr>
      <w:tr w:rsidR="00AE5EAE" w:rsidRPr="00C37A10" w14:paraId="51309A99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F16E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FDC6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759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E179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CentOS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E5EAE" w:rsidRPr="00C37A10" w14:paraId="3CD98692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CFE6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8F1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F5D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378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CentOS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E5EAE" w:rsidRPr="00C37A10" w14:paraId="4264853D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55ED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122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95C3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DA7B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Red </w:t>
            </w: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Hat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Enterprise Linux</w:t>
            </w:r>
          </w:p>
        </w:tc>
      </w:tr>
      <w:tr w:rsidR="00AE5EAE" w:rsidRPr="00C37A10" w14:paraId="5C8F2AAE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45DC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D47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1D3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8DD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SUSE Linux Enterprise</w:t>
            </w:r>
          </w:p>
        </w:tc>
      </w:tr>
      <w:tr w:rsidR="00AE5EAE" w:rsidRPr="00C37A10" w14:paraId="55AEBF70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356A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2C66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3FD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D009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SUSE Linux Enterprise</w:t>
            </w:r>
          </w:p>
        </w:tc>
      </w:tr>
      <w:tr w:rsidR="00AE5EAE" w:rsidRPr="00C37A10" w14:paraId="64E45782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012F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253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913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A37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SUSE Linux Enterprise</w:t>
            </w:r>
          </w:p>
        </w:tc>
      </w:tr>
      <w:tr w:rsidR="00AE5EAE" w:rsidRPr="00C37A10" w14:paraId="40569BC3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0E6A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B97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1CF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163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Red </w:t>
            </w: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Hat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Enterprise Linux</w:t>
            </w:r>
          </w:p>
        </w:tc>
      </w:tr>
      <w:tr w:rsidR="00AE5EAE" w:rsidRPr="00C37A10" w14:paraId="5605A1FA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5DA2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E8D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5E6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290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CentOS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E5EAE" w:rsidRPr="00C37A10" w14:paraId="1BD0BAC8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CDE3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3DA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1093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388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104C7DA0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3F2F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AE3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3A0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651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Red </w:t>
            </w: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Hat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Enterprise Linux </w:t>
            </w:r>
          </w:p>
        </w:tc>
      </w:tr>
      <w:tr w:rsidR="00AE5EAE" w:rsidRPr="00C37A10" w14:paraId="4853C9AD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1B2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3BB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391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192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2CC8072E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BEA6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C71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711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32C1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5E5F0EA2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4D3A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518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AA3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2D7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4FDCC10F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3ABC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3D6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681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EB0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Microsoft Windows Server</w:t>
            </w:r>
          </w:p>
        </w:tc>
      </w:tr>
      <w:tr w:rsidR="00AE5EAE" w:rsidRPr="00C37A10" w14:paraId="65539BF4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36A9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E5E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E06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AC1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7B38C52F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DE0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363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D81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D5F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74035624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8A38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60C9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BBB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13E6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Ubuntu</w:t>
            </w:r>
            <w:proofErr w:type="spellEnd"/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 Linux </w:t>
            </w:r>
          </w:p>
        </w:tc>
      </w:tr>
      <w:tr w:rsidR="00AE5EAE" w:rsidRPr="00C37A10" w14:paraId="5ECC8638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C9019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F40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E44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E1F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36E5466C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EDF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95A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49E2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156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7E452481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746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DA2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F2BD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12D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0612732E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72B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522A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F41F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FB1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Server </w:t>
            </w:r>
          </w:p>
        </w:tc>
      </w:tr>
      <w:tr w:rsidR="00AE5EAE" w:rsidRPr="00C37A10" w14:paraId="3A2EC34E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6CAD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EED6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2DE1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1FC08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 xml:space="preserve">Other 3.x or later Linux </w:t>
            </w:r>
          </w:p>
        </w:tc>
      </w:tr>
      <w:tr w:rsidR="00AE5EAE" w:rsidRPr="00C37A10" w14:paraId="6D02EC0E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5FAE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4F9B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CC6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056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56E16D74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BD9D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F27E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D065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A004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433858B6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D73B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BA70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649E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2BDC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val="en-US" w:eastAsia="pl-PL"/>
              </w:rPr>
              <w:t>Other 3.x or later Linux</w:t>
            </w:r>
          </w:p>
        </w:tc>
      </w:tr>
      <w:tr w:rsidR="00AE5EAE" w:rsidRPr="00C37A10" w14:paraId="6ABE886F" w14:textId="77777777" w:rsidTr="00AB0646">
        <w:trPr>
          <w:trHeight w:val="22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0406" w14:textId="77777777" w:rsidR="00AE5EAE" w:rsidRPr="00C37A10" w:rsidRDefault="00AE5EAE" w:rsidP="00AB0646">
            <w:pPr>
              <w:jc w:val="right"/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4613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Datacenter1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3652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>Cluster_1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8C587" w14:textId="77777777" w:rsidR="00AE5EAE" w:rsidRPr="00C37A10" w:rsidRDefault="00AE5EAE" w:rsidP="00AB0646">
            <w:pPr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</w:pPr>
            <w:r w:rsidRPr="00C37A10">
              <w:rPr>
                <w:rFonts w:ascii="Lato" w:hAnsi="Lato" w:cs="Times New Roman"/>
                <w:color w:val="000000"/>
                <w:sz w:val="20"/>
                <w:szCs w:val="20"/>
                <w:lang w:eastAsia="pl-PL"/>
              </w:rPr>
              <w:t xml:space="preserve">Microsoft Windows </w:t>
            </w:r>
          </w:p>
        </w:tc>
      </w:tr>
    </w:tbl>
    <w:p w14:paraId="2A84F39A" w14:textId="77777777" w:rsidR="00AE5EAE" w:rsidRPr="00C37A10" w:rsidRDefault="00AE5EAE" w:rsidP="00AE5EAE">
      <w:pPr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   </w:t>
      </w:r>
    </w:p>
    <w:p w14:paraId="4982164A" w14:textId="77777777" w:rsidR="00AE5EAE" w:rsidRPr="00C37A10" w:rsidRDefault="00AE5EAE" w:rsidP="00AE5EAE">
      <w:pPr>
        <w:pStyle w:val="Nagwek1"/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lastRenderedPageBreak/>
        <w:t>Zamawiający wymaga dostarczenia Sprzętu w liczbie i zgodnie ze specyfikacją techniczną:</w:t>
      </w:r>
    </w:p>
    <w:p w14:paraId="1E9DE954" w14:textId="77777777" w:rsidR="00AE5EAE" w:rsidRPr="00C37A10" w:rsidRDefault="00AE5EAE" w:rsidP="00AE5EAE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before="120"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 xml:space="preserve">Serwery szt. 2 ( </w:t>
      </w:r>
      <w:proofErr w:type="spellStart"/>
      <w:r w:rsidRPr="00C37A10">
        <w:rPr>
          <w:rFonts w:ascii="Lato" w:hAnsi="Lato" w:cs="Times New Roman"/>
          <w:sz w:val="20"/>
          <w:szCs w:val="20"/>
        </w:rPr>
        <w:t>PowerEdge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R7625 ).</w:t>
      </w:r>
    </w:p>
    <w:p w14:paraId="2B0D0A31" w14:textId="77777777" w:rsidR="00AE5EAE" w:rsidRPr="00C37A10" w:rsidRDefault="00AE5EAE" w:rsidP="00AE5EAE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before="120"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Macierz dyskowa szt. 1 (</w:t>
      </w:r>
      <w:proofErr w:type="spellStart"/>
      <w:r w:rsidRPr="00C37A10">
        <w:rPr>
          <w:rFonts w:ascii="Lato" w:hAnsi="Lato" w:cs="Times New Roman"/>
          <w:sz w:val="20"/>
          <w:szCs w:val="20"/>
        </w:rPr>
        <w:t>PowerVault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ME5024).</w:t>
      </w:r>
    </w:p>
    <w:p w14:paraId="2E4CC900" w14:textId="77777777" w:rsidR="00AE5EAE" w:rsidRPr="00C37A10" w:rsidRDefault="00AE5EAE" w:rsidP="00AE5EAE">
      <w:pPr>
        <w:pStyle w:val="Akapitzlist"/>
        <w:widowControl w:val="0"/>
        <w:numPr>
          <w:ilvl w:val="0"/>
          <w:numId w:val="20"/>
        </w:numPr>
        <w:suppressAutoHyphens/>
        <w:autoSpaceDE w:val="0"/>
        <w:spacing w:before="120" w:after="0" w:line="240" w:lineRule="auto"/>
        <w:jc w:val="both"/>
        <w:rPr>
          <w:rFonts w:ascii="Lato" w:hAnsi="Lato" w:cs="Times New Roman"/>
          <w:sz w:val="20"/>
          <w:szCs w:val="20"/>
        </w:rPr>
      </w:pPr>
      <w:r w:rsidRPr="00C37A10">
        <w:rPr>
          <w:rFonts w:ascii="Lato" w:hAnsi="Lato" w:cs="Times New Roman"/>
          <w:sz w:val="20"/>
          <w:szCs w:val="20"/>
        </w:rPr>
        <w:t>Półka dyskowe szt. 1 (</w:t>
      </w:r>
      <w:proofErr w:type="spellStart"/>
      <w:r w:rsidRPr="00C37A10">
        <w:rPr>
          <w:rFonts w:ascii="Lato" w:hAnsi="Lato" w:cs="Times New Roman"/>
          <w:sz w:val="20"/>
          <w:szCs w:val="20"/>
        </w:rPr>
        <w:t>PowerVault</w:t>
      </w:r>
      <w:proofErr w:type="spellEnd"/>
      <w:r w:rsidRPr="00C37A10">
        <w:rPr>
          <w:rFonts w:ascii="Lato" w:hAnsi="Lato" w:cs="Times New Roman"/>
          <w:sz w:val="20"/>
          <w:szCs w:val="20"/>
        </w:rPr>
        <w:t xml:space="preserve"> ME424).</w:t>
      </w:r>
    </w:p>
    <w:p w14:paraId="52C7DE9D" w14:textId="77777777" w:rsidR="00AE5EAE" w:rsidRPr="00C37A10" w:rsidRDefault="00AE5EAE" w:rsidP="00AE5EAE">
      <w:pPr>
        <w:ind w:right="-7"/>
        <w:rPr>
          <w:rFonts w:ascii="Lato" w:hAnsi="Lato"/>
          <w:b/>
          <w:sz w:val="20"/>
          <w:szCs w:val="20"/>
          <w:u w:val="single"/>
        </w:rPr>
      </w:pPr>
      <w:r w:rsidRPr="00C37A10">
        <w:rPr>
          <w:rFonts w:ascii="Lato" w:hAnsi="Lato"/>
          <w:sz w:val="20"/>
          <w:szCs w:val="20"/>
        </w:rPr>
        <w:t>Zamawiający zaakceptuje dostawę Sprzętu równoważnego do opisanych powyżej pod warunkiem, że Sprzęt ten spełnia warunki przedstawione w  szczegółowy opisie przedmiotu zamówienia.</w:t>
      </w:r>
    </w:p>
    <w:p w14:paraId="58B4102A" w14:textId="77777777" w:rsidR="00AE5EAE" w:rsidRPr="00C37A10" w:rsidRDefault="00AE5EAE" w:rsidP="00AE5EAE">
      <w:pPr>
        <w:rPr>
          <w:rFonts w:ascii="Lato" w:hAnsi="Lato"/>
          <w:sz w:val="20"/>
          <w:szCs w:val="20"/>
        </w:rPr>
      </w:pPr>
      <w:r w:rsidRPr="00C37A10">
        <w:rPr>
          <w:rFonts w:ascii="Lato" w:hAnsi="Lato"/>
          <w:sz w:val="20"/>
          <w:szCs w:val="20"/>
        </w:rPr>
        <w:t xml:space="preserve">Zamawiający  wymaga, aby Sprzęt pochodził od jednego producenta i był zgodny ze szczegółową specyfikacją techniczną przedstawioną poniżej i spełniał wymagania licencji Vmware posiadanej przez Zamawiającego  </w:t>
      </w:r>
      <w:r w:rsidRPr="00C37A10">
        <w:rPr>
          <w:rFonts w:ascii="Lato" w:hAnsi="Lato" w:cs="Times New Roman"/>
          <w:color w:val="000000"/>
          <w:sz w:val="20"/>
          <w:szCs w:val="20"/>
          <w:lang w:eastAsia="pl-PL"/>
        </w:rPr>
        <w:t>VCF-VSP-STD-8.</w:t>
      </w:r>
      <w:r w:rsidRPr="00C37A10">
        <w:rPr>
          <w:rFonts w:ascii="Lato" w:hAnsi="Lato"/>
          <w:sz w:val="20"/>
          <w:szCs w:val="20"/>
        </w:rPr>
        <w:t xml:space="preserve"> </w:t>
      </w:r>
    </w:p>
    <w:p w14:paraId="0EDD0104" w14:textId="77777777" w:rsidR="00AE5EAE" w:rsidRPr="00C37A10" w:rsidRDefault="00AE5EAE" w:rsidP="00AE5EAE">
      <w:pPr>
        <w:rPr>
          <w:rFonts w:ascii="Lato" w:hAnsi="Lato"/>
          <w:sz w:val="20"/>
          <w:szCs w:val="20"/>
        </w:rPr>
      </w:pPr>
    </w:p>
    <w:tbl>
      <w:tblPr>
        <w:tblW w:w="9989" w:type="dxa"/>
        <w:tblInd w:w="-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7"/>
        <w:gridCol w:w="8032"/>
      </w:tblGrid>
      <w:tr w:rsidR="00AE5EAE" w:rsidRPr="00C37A10" w14:paraId="7BFA5D53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4F7C9D31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Parametr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7AA7371D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i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Charakterystyka (wymagania minimalne)</w:t>
            </w:r>
          </w:p>
        </w:tc>
      </w:tr>
      <w:tr w:rsidR="00AE5EAE" w:rsidRPr="00C37A10" w14:paraId="5F822052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3ADA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Obudowa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A738" w14:textId="77777777" w:rsidR="00AE5EAE" w:rsidRPr="00C37A10" w:rsidRDefault="00AE5EAE" w:rsidP="00AE5EA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Rack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 wysokości max 2U.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Backplain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dyskowy nie jest wymagany. </w:t>
            </w:r>
          </w:p>
          <w:p w14:paraId="48B4EA02" w14:textId="77777777" w:rsidR="00AE5EAE" w:rsidRPr="00C37A10" w:rsidRDefault="00AE5EAE" w:rsidP="00AE5EA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Obudowa wyposażona w panel LCD umieszczony na froncie obudowy lub dedykowanej ramce. </w:t>
            </w:r>
          </w:p>
        </w:tc>
      </w:tr>
      <w:tr w:rsidR="00AE5EAE" w:rsidRPr="00C37A10" w14:paraId="1AE5F2C3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EE293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Płyta główna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F3C0" w14:textId="77777777" w:rsidR="00AE5EAE" w:rsidRPr="00C37A10" w:rsidRDefault="00AE5E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Płyta główna z możliwością zainstalowania dwóch procesorów. </w:t>
            </w:r>
          </w:p>
          <w:p w14:paraId="3421D821" w14:textId="77777777" w:rsidR="00AE5EAE" w:rsidRPr="00C37A10" w:rsidRDefault="00AE5E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obsługi procesorów 128 rdzeniowych.</w:t>
            </w:r>
          </w:p>
          <w:p w14:paraId="116D397E" w14:textId="77777777" w:rsidR="00AE5EAE" w:rsidRPr="00C37A10" w:rsidRDefault="00AE5E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Płyta główna musi być zaprojektowana przez producenta serwera i oznaczona jego znakiem firmowym. </w:t>
            </w:r>
          </w:p>
          <w:p w14:paraId="26433F89" w14:textId="77777777" w:rsidR="00AE5EAE" w:rsidRPr="00C37A10" w:rsidRDefault="00AE5E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Na płycie głównej powinno znajdować się minimum 24 slotów przeznaczonych do instalacji pamięci. </w:t>
            </w:r>
          </w:p>
          <w:p w14:paraId="7CE93D69" w14:textId="77777777" w:rsidR="00AE5EAE" w:rsidRPr="00C37A10" w:rsidRDefault="00AE5EAE" w:rsidP="00AE5EA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Płyta główna powinna obsługiwać do min. 6TB pamięci RAM.</w:t>
            </w:r>
          </w:p>
        </w:tc>
      </w:tr>
      <w:tr w:rsidR="00AE5EAE" w:rsidRPr="00C37A10" w14:paraId="571C266B" w14:textId="77777777" w:rsidTr="00AB0646">
        <w:trPr>
          <w:trHeight w:val="383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E202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Chipset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11EED" w14:textId="77777777" w:rsidR="00AE5EAE" w:rsidRPr="00C37A10" w:rsidRDefault="00AE5EAE" w:rsidP="00AE5EA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Dedykowany przez producenta procesora do pracy w serwerach dwuprocesorowych.</w:t>
            </w:r>
          </w:p>
        </w:tc>
      </w:tr>
      <w:tr w:rsidR="00AE5EAE" w:rsidRPr="00C37A10" w14:paraId="089B9BFC" w14:textId="77777777" w:rsidTr="00AB0646">
        <w:trPr>
          <w:trHeight w:val="71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AA9D0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Procesor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193B0" w14:textId="77777777" w:rsidR="00AE5EAE" w:rsidRPr="00C37A10" w:rsidRDefault="00AE5EAE" w:rsidP="00AE5EA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Zainstalowane dwa procesory, min. 32-rdzeniowe, min. 2.7GHz, min. 128MB cache, klasy x86 dedykowane do pracy z zaoferowanym serwerem umożliwiające osiągnięcie </w:t>
            </w:r>
            <w:r w:rsidRPr="00C37A10">
              <w:rPr>
                <w:rFonts w:ascii="Lato" w:eastAsia="Calibri" w:hAnsi="Lato"/>
                <w:sz w:val="20"/>
                <w:szCs w:val="20"/>
              </w:rPr>
              <w:t>wyniku min. 714 w teście SPECrate2017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_int_base w konfiguracji dwu procesorowej, dostępnym na stronie </w:t>
            </w:r>
            <w:hyperlink r:id="rId8">
              <w:r w:rsidRPr="00C37A10">
                <w:rPr>
                  <w:rFonts w:ascii="Lato" w:eastAsia="Calibri" w:hAnsi="Lato"/>
                  <w:color w:val="0563C1"/>
                  <w:sz w:val="20"/>
                  <w:szCs w:val="20"/>
                  <w:u w:val="single"/>
                </w:rPr>
                <w:t>www.spec.org</w:t>
              </w:r>
            </w:hyperlink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  <w:r w:rsidRPr="00C37A10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</w:tr>
      <w:tr w:rsidR="00AE5EAE" w:rsidRPr="00C37A10" w14:paraId="1BC3CA83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BCC3E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RAM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73B1E" w14:textId="77777777" w:rsidR="00AE5EAE" w:rsidRPr="00C37A10" w:rsidRDefault="00AE5EAE" w:rsidP="00AE5EA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Minimum 1280GB DDR5 RDIMM 5600MT/s, w modułach po 64GB.</w:t>
            </w:r>
          </w:p>
        </w:tc>
      </w:tr>
      <w:tr w:rsidR="00AE5EAE" w:rsidRPr="00C37A10" w14:paraId="4BDA61CB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CCA8C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hAnsi="Lato"/>
                <w:b/>
                <w:sz w:val="20"/>
                <w:szCs w:val="20"/>
              </w:rPr>
              <w:t>Kontroler RAID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3739" w14:textId="77777777" w:rsidR="00AE5EAE" w:rsidRPr="00C37A10" w:rsidRDefault="00AE5EAE" w:rsidP="00AE5EA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left="757" w:hanging="425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Nie jest wymagany.</w:t>
            </w:r>
          </w:p>
        </w:tc>
      </w:tr>
      <w:tr w:rsidR="00AE5EAE" w:rsidRPr="00C37A10" w14:paraId="1F6BDF6B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68BA8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Dyski twarde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5685" w14:textId="77777777" w:rsidR="00AE5EAE" w:rsidRPr="00C37A10" w:rsidRDefault="00AE5EAE" w:rsidP="00AE5EA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Zainstalowane, w dedykowanym slocie, dwa dysków M.2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NVMe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 pojemności min. 480GB Hot-Plug z możliwością konfiguracji RAID 1.</w:t>
            </w:r>
          </w:p>
        </w:tc>
      </w:tr>
      <w:tr w:rsidR="00AE5EAE" w:rsidRPr="00C37A10" w14:paraId="21F2A18E" w14:textId="77777777" w:rsidTr="00AB0646">
        <w:trPr>
          <w:trHeight w:val="51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6E111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Gniazda PCI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10CE" w14:textId="77777777" w:rsidR="00AE5EAE" w:rsidRPr="00C37A10" w:rsidRDefault="00AE5EAE" w:rsidP="00AE5EA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Osiem slotów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w tym min 2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sloty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x16.</w:t>
            </w:r>
          </w:p>
        </w:tc>
      </w:tr>
      <w:tr w:rsidR="00AE5EAE" w:rsidRPr="00C37A10" w14:paraId="575DC779" w14:textId="77777777" w:rsidTr="00AB0646">
        <w:trPr>
          <w:trHeight w:val="51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7BA8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0C946" w14:textId="77777777" w:rsidR="00AE5EAE" w:rsidRPr="00C37A10" w:rsidRDefault="00AE5E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Wbudowane min. 2 interfejsy sieciowe 1Gb Ethernet w standardzie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BaseT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oraz 2 interfejsy sieciowe 10/25Gb Ethernet w standardzieSFP28 (porty nie mogą być osiągnięte poprzez karty w slotach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).</w:t>
            </w:r>
          </w:p>
          <w:p w14:paraId="72867C56" w14:textId="77777777" w:rsidR="00AE5EAE" w:rsidRPr="00C37A10" w:rsidRDefault="00AE5E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Karta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z min. 2 interfejsami sieciowymi 10/25Gb Ethernet w standardzie SFP28.</w:t>
            </w:r>
          </w:p>
          <w:p w14:paraId="2C5CDD63" w14:textId="77777777" w:rsidR="00AE5EAE" w:rsidRPr="00C37A10" w:rsidRDefault="00AE5E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Wszystkie porty </w:t>
            </w:r>
            <w:r w:rsidRPr="00C37A10">
              <w:rPr>
                <w:rFonts w:ascii="Lato" w:hAnsi="Lato"/>
                <w:color w:val="000000"/>
                <w:sz w:val="20"/>
                <w:szCs w:val="20"/>
              </w:rPr>
              <w:t xml:space="preserve">muszą być 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wyposażone we wkładki SFP28 SR. </w:t>
            </w:r>
          </w:p>
          <w:p w14:paraId="01A5F968" w14:textId="77777777" w:rsidR="00AE5EAE" w:rsidRPr="00C37A10" w:rsidRDefault="00AE5EAE" w:rsidP="00AE5EA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Dwie karty FC dwuportowe 32Gbit wraz z wkładkami SR.</w:t>
            </w:r>
          </w:p>
        </w:tc>
      </w:tr>
      <w:tr w:rsidR="00AE5EAE" w:rsidRPr="00C37A10" w14:paraId="7AFD391E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4BBE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hAnsi="Lato"/>
                <w:b/>
                <w:sz w:val="20"/>
                <w:szCs w:val="20"/>
              </w:rPr>
              <w:t>Wbudowane porty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894B5" w14:textId="77777777" w:rsidR="00AE5EAE" w:rsidRPr="00C37A10" w:rsidRDefault="00AE5EAE" w:rsidP="00AE5EA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4 porty USB w tym min: </w:t>
            </w:r>
          </w:p>
          <w:p w14:paraId="476DD80B" w14:textId="77777777" w:rsidR="00AE5EAE" w:rsidRPr="00C37A10" w:rsidRDefault="00AE5EAE" w:rsidP="00AE5EAE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5C05F43D" w14:textId="77777777" w:rsidR="00AE5EAE" w:rsidRPr="00C37A10" w:rsidRDefault="00AE5EAE" w:rsidP="00AE5EAE">
            <w:pPr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1 port micro USB z przodu obudowy.</w:t>
            </w:r>
          </w:p>
          <w:p w14:paraId="6B77A49F" w14:textId="77777777" w:rsidR="00AE5EAE" w:rsidRPr="00C37A10" w:rsidRDefault="00AE5EAE" w:rsidP="00AE5EA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2 port VGA z czego jeden z przodu obudowy. </w:t>
            </w:r>
          </w:p>
          <w:p w14:paraId="67F34725" w14:textId="77777777" w:rsidR="00AE5EAE" w:rsidRPr="00C37A10" w:rsidRDefault="00AE5E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rozbudowy o port RS232.</w:t>
            </w:r>
          </w:p>
        </w:tc>
      </w:tr>
      <w:tr w:rsidR="00AE5EAE" w:rsidRPr="00C37A10" w14:paraId="3B5C64EF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3C91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lastRenderedPageBreak/>
              <w:t>Video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6C82" w14:textId="77777777" w:rsidR="00AE5EAE" w:rsidRPr="00C37A10" w:rsidRDefault="00AE5E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Zintegrowana karta graficzna umożliwiająca wyświetlenie rozdzielczości min. 1920x1080.</w:t>
            </w:r>
          </w:p>
        </w:tc>
      </w:tr>
      <w:tr w:rsidR="00AE5EAE" w:rsidRPr="00C37A10" w14:paraId="16BFD181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8F705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System operacyjny / dodatkowe oprogramowanie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95EA0" w14:textId="77777777" w:rsidR="00AE5EAE" w:rsidRPr="00C37A10" w:rsidRDefault="00AE5E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Nie jest wymagany.</w:t>
            </w:r>
          </w:p>
        </w:tc>
      </w:tr>
      <w:tr w:rsidR="00AE5EAE" w:rsidRPr="00C37A10" w14:paraId="68D1E7EE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5103D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eastAsia="Calibri" w:hAnsi="Lato"/>
                <w:b/>
                <w:sz w:val="20"/>
                <w:szCs w:val="20"/>
              </w:rPr>
              <w:t>Wentylatory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CCDDA" w14:textId="77777777" w:rsidR="00AE5EAE" w:rsidRPr="00C37A10" w:rsidRDefault="00AE5E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Redundantne.</w:t>
            </w:r>
          </w:p>
        </w:tc>
      </w:tr>
      <w:tr w:rsidR="00AE5EAE" w:rsidRPr="00C37A10" w14:paraId="2B422531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B7717" w14:textId="77777777" w:rsidR="00AE5EAE" w:rsidRPr="00C37A10" w:rsidRDefault="00AE5EAE" w:rsidP="00AB0646">
            <w:pPr>
              <w:jc w:val="center"/>
              <w:rPr>
                <w:rFonts w:ascii="Lato" w:hAnsi="Lato"/>
                <w:b/>
                <w:sz w:val="20"/>
                <w:szCs w:val="20"/>
              </w:rPr>
            </w:pPr>
            <w:r w:rsidRPr="00C37A10">
              <w:rPr>
                <w:rFonts w:ascii="Lato" w:hAnsi="Lato"/>
                <w:b/>
                <w:sz w:val="20"/>
                <w:szCs w:val="20"/>
              </w:rPr>
              <w:t>Zasilacze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4A132" w14:textId="77777777" w:rsidR="00AE5EAE" w:rsidRPr="00C37A10" w:rsidRDefault="00AE5E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Redundantne, Hot-Plug min. 1800W klasy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Titanium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</w:p>
          <w:p w14:paraId="7138CDF5" w14:textId="77777777" w:rsidR="00AE5EAE" w:rsidRPr="00C37A10" w:rsidRDefault="00AE5EAE" w:rsidP="00AE5EA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Dwa przewody C15/C14 min. 2 metry.</w:t>
            </w:r>
          </w:p>
        </w:tc>
      </w:tr>
      <w:tr w:rsidR="00AE5EAE" w:rsidRPr="00C37A10" w14:paraId="36FE86D4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A5F0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Elementy montażowe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B98F" w14:textId="77777777" w:rsidR="00AE5EAE" w:rsidRPr="00C37A10" w:rsidRDefault="00AE5EAE" w:rsidP="00AE5EA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Komplet wysuwanych szyn umożliwiających montaż w szafie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rack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i wysuwanie serwera do celów serwisowych.</w:t>
            </w:r>
          </w:p>
        </w:tc>
      </w:tr>
      <w:tr w:rsidR="00AE5EAE" w:rsidRPr="00C37A10" w14:paraId="386DB4F4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751B9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Bezpieczeństwo</w:t>
            </w:r>
            <w:r w:rsidRPr="00C37A10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716D3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panela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471376B7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50BE310E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2B6CD97A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BIOS ma możliwość przejścia do bezpiecznego trybu rozruchowego z możliwością zarządzania blokadą zasilania, panelem sterowania oraz zmianą hasła. </w:t>
            </w:r>
          </w:p>
          <w:p w14:paraId="09DFECAC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6E8743AB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Moduł TPM 2.0. </w:t>
            </w:r>
          </w:p>
          <w:p w14:paraId="563BF85F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dynamicznego włączania i wyłączania portów USB na obudowie – bez potrzeby restartu serwera.</w:t>
            </w:r>
          </w:p>
          <w:p w14:paraId="55B43B16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serwerem.</w:t>
            </w:r>
          </w:p>
          <w:p w14:paraId="7E4BAE61" w14:textId="77777777" w:rsidR="00AE5EAE" w:rsidRPr="00C37A10" w:rsidRDefault="00AE5EAE" w:rsidP="00AE5EA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AE5EAE" w:rsidRPr="00C37A10" w14:paraId="61E24026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B5E7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Karta Zarządzania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40C6" w14:textId="77777777" w:rsidR="00AE5EAE" w:rsidRPr="00C37A10" w:rsidRDefault="00AE5EAE" w:rsidP="00AE5EA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648FCE4F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zdalny dostęp do graficznego interfejsu Web karty zarządzającej,</w:t>
            </w:r>
          </w:p>
          <w:p w14:paraId="7BEA997E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zdalne monitorowanie i informowanie o statusie serwera (m.in. prędkości obrotowej wentylatorów, konfiguracji serwera),</w:t>
            </w:r>
          </w:p>
          <w:p w14:paraId="720F6D15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szyfrowane połączenie (TLS) oraz autentykacje i autoryzację użytkownika,</w:t>
            </w:r>
          </w:p>
          <w:p w14:paraId="54D8B7A3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podmontowania zdalnych wirtualnych napędów,</w:t>
            </w:r>
          </w:p>
          <w:p w14:paraId="1909CF8B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wirtualną konsolę z dostępem do myszy, klawiatury,</w:t>
            </w:r>
          </w:p>
          <w:p w14:paraId="286BCD7B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wsparcie dla IPv6,</w:t>
            </w:r>
          </w:p>
          <w:p w14:paraId="4AB6B42F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  <w:lang w:val="en-US"/>
              </w:rPr>
            </w:pP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>wsparcie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  <w:lang w:val="en-US"/>
              </w:rPr>
              <w:t xml:space="preserve"> WSMAN (Web Service for Management); SNMP; IPMI2.0, SSH, Redfish,</w:t>
            </w:r>
          </w:p>
          <w:p w14:paraId="5E2B5A5F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zdalnego monitorowania w czasie rzeczywistym poboru prądu przez serwer,</w:t>
            </w:r>
          </w:p>
          <w:p w14:paraId="4036CC8C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zdalnego ustawienia limitu poboru prądu przez konkretny serwer;</w:t>
            </w:r>
          </w:p>
          <w:p w14:paraId="1151EF21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integracja z Active Directory,</w:t>
            </w:r>
          </w:p>
          <w:p w14:paraId="0F4F776B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obsługi przez dwóch administratorów jednocześnie,</w:t>
            </w:r>
          </w:p>
          <w:p w14:paraId="76A500B6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wsparcie dla automatycznej rejestracji DNS, </w:t>
            </w:r>
          </w:p>
          <w:p w14:paraId="331932D7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lastRenderedPageBreak/>
              <w:t>wysyłanie do administratora maila z powiadomieniem o awarii lub zmianie konfiguracji sprzętowej,</w:t>
            </w:r>
          </w:p>
          <w:p w14:paraId="68C02B29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bezpośredniego zarządzania poprzez dedykowany port USB na przednim panelu serwera,</w:t>
            </w:r>
          </w:p>
          <w:p w14:paraId="2F44A18E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76F6A05F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Wirtualny schowek ułatwiający korzystanie z konsoli zdalnej,</w:t>
            </w:r>
          </w:p>
          <w:p w14:paraId="6E7349E8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Przesyłanie danych telemetrycznych w czasie rzeczywistym,</w:t>
            </w:r>
          </w:p>
          <w:p w14:paraId="57E72A9D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Dostosowanie zarządzania temperaturą i przepływem powietrza w serwerze,</w:t>
            </w:r>
          </w:p>
          <w:p w14:paraId="5A5AA113" w14:textId="77777777" w:rsidR="00AE5EAE" w:rsidRPr="00C37A10" w:rsidRDefault="00AE5EAE" w:rsidP="00AE5EAE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6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Automatyczna rejestracja certyfikatów (ACE).</w:t>
            </w:r>
          </w:p>
        </w:tc>
      </w:tr>
      <w:tr w:rsidR="00AE5EAE" w:rsidRPr="00C37A10" w14:paraId="0DA3BD9C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E160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E51C" w14:textId="77777777" w:rsidR="00AE5EAE" w:rsidRPr="00C37A10" w:rsidRDefault="00AE5EAE" w:rsidP="00AB0646">
            <w:pPr>
              <w:ind w:left="132"/>
              <w:rPr>
                <w:rFonts w:ascii="Lato" w:hAnsi="Lato"/>
                <w:sz w:val="20"/>
                <w:szCs w:val="20"/>
              </w:rPr>
            </w:pPr>
            <w:r w:rsidRPr="00C37A10">
              <w:rPr>
                <w:rFonts w:ascii="Lato" w:hAnsi="Lato"/>
                <w:sz w:val="20"/>
                <w:szCs w:val="20"/>
              </w:rPr>
              <w:t xml:space="preserve">Możliwość zainstalowania oprogramowania producenta do zarządzania, spełniającego poniższe wymagania (licencja na poniższą funkcjonalność nie jest wymagana): </w:t>
            </w:r>
          </w:p>
          <w:p w14:paraId="08C736B8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Wsparcie dla serwerów, urządzeń sieciowych oraz pamięci masowych.</w:t>
            </w:r>
          </w:p>
          <w:p w14:paraId="5D8AF8A0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Integracja z Active Directory.</w:t>
            </w:r>
          </w:p>
          <w:p w14:paraId="3770EC6A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zarządzania dostarczonymi serwerami bez udziału dedykowanego agenta</w:t>
            </w:r>
          </w:p>
          <w:p w14:paraId="022A73A1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Redfish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.</w:t>
            </w:r>
          </w:p>
          <w:p w14:paraId="31A2A827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uruchamiania procesu wykrywania urządzeń w oparciu o harmonogram.</w:t>
            </w:r>
          </w:p>
          <w:p w14:paraId="4819B0A5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Szczegółowy opis wykrytych systemów oraz ich komponentów.</w:t>
            </w:r>
          </w:p>
          <w:p w14:paraId="1C9A7792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eksportu raportu do CSV, HTML, XLS, PDF.</w:t>
            </w:r>
          </w:p>
          <w:p w14:paraId="6CE9D668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61D340BA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Grupowanie urządzeń w oparciu o kryteria użytkownika.</w:t>
            </w:r>
          </w:p>
          <w:p w14:paraId="0066FD9C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PCIe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, pozostałego czasu gwarancji.</w:t>
            </w:r>
          </w:p>
          <w:p w14:paraId="0A1BFB94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uruchamiania narzędzi zarządzających w poszczególnych urządzeniach.</w:t>
            </w:r>
          </w:p>
          <w:p w14:paraId="6E8F0F31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Szybki podgląd stanu środowiska.</w:t>
            </w:r>
          </w:p>
          <w:p w14:paraId="0146BC63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Podsumowanie stanu dla każdego urządzenia.</w:t>
            </w:r>
          </w:p>
          <w:p w14:paraId="11B5D465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Szczegółowy status urządzenia/elementu/komponentu.</w:t>
            </w:r>
          </w:p>
          <w:p w14:paraId="07A1E38A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Generowanie alertów przy zmianie stanu urządzenia.</w:t>
            </w:r>
          </w:p>
          <w:p w14:paraId="68A2D0A0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Filtry raportów umożliwiające podgląd najważniejszych zdarzeń.</w:t>
            </w:r>
          </w:p>
          <w:p w14:paraId="492A881E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Integracja z service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desk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producenta dostarczonej platformy sprzętowej.</w:t>
            </w:r>
          </w:p>
          <w:p w14:paraId="7FB4BDF6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przejęcia zdalnego pulpitu.</w:t>
            </w:r>
          </w:p>
          <w:p w14:paraId="53E8891E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podmontowania wirtualnego napędu.</w:t>
            </w:r>
          </w:p>
          <w:p w14:paraId="1AE11C64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Kreator umożliwiający dostosowanie akcji dla wybranych alertów.</w:t>
            </w:r>
          </w:p>
          <w:p w14:paraId="490AEFA9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importu plików MIB.</w:t>
            </w:r>
          </w:p>
          <w:p w14:paraId="4398FD3D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Przesyłanie alertów „as-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is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” do innych konsol firm trzecich.</w:t>
            </w:r>
          </w:p>
          <w:p w14:paraId="5F37D4A4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definiowania ról administratorów.</w:t>
            </w:r>
          </w:p>
          <w:p w14:paraId="7BE57C5A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zdalnej aktualizacji oprogramowania wewnętrznego serwerów.</w:t>
            </w:r>
          </w:p>
          <w:p w14:paraId="2DE094AA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Aktualizacja oparta o wybranie źródła bibliotek (lokalna, on-line producenta oferowanego rozwiązania).</w:t>
            </w:r>
          </w:p>
          <w:p w14:paraId="1BB3FCED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instalacji oprogramowania wewnętrznego bez potrzeby instalacji agenta.</w:t>
            </w:r>
          </w:p>
          <w:p w14:paraId="62FAC84B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automatycznego generowania i zgłaszania incydentów awarii bezpośrednio do centrum serwisowego producenta serwerów.</w:t>
            </w:r>
          </w:p>
          <w:p w14:paraId="49E2C7ED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lastRenderedPageBreak/>
              <w:t>sieciowych, występujących alertów, MAC adresów kart sieciowych, stanie poszczególnych komponentów serwera.</w:t>
            </w:r>
          </w:p>
          <w:p w14:paraId="1C1CB168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13CEA240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Wdrażanie serwerów, rozwiązań modularnych oraz przełączników sieciowych w oparciu o profile.</w:t>
            </w:r>
          </w:p>
          <w:p w14:paraId="79331EF4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39376F33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1EB1DB69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Zdalne uruchamianie diagnostyki serwera.</w:t>
            </w:r>
          </w:p>
          <w:p w14:paraId="283B037E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7B01C306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appliance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dla KVM,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ESXi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i Hyper-V.</w:t>
            </w:r>
          </w:p>
        </w:tc>
      </w:tr>
      <w:tr w:rsidR="00AE5EAE" w:rsidRPr="00C37A10" w14:paraId="4BEF804B" w14:textId="77777777" w:rsidTr="00AB0646"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CA09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963B" w14:textId="77777777" w:rsidR="00AE5EAE" w:rsidRPr="00C37A10" w:rsidRDefault="00AE5EAE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eastAsia="Calibri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Serwer musi posiadać deklaracja CE.</w:t>
            </w:r>
          </w:p>
          <w:p w14:paraId="1C8C42E8" w14:textId="51E60C8B" w:rsidR="00AE5EAE" w:rsidRPr="00C37A10" w:rsidRDefault="00EE49AD" w:rsidP="00AE5EAE">
            <w:pPr>
              <w:numPr>
                <w:ilvl w:val="1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40" w:hanging="458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Wydruk ze strony internetowej </w:t>
            </w:r>
            <w:hyperlink r:id="rId9">
              <w:r w:rsidRPr="00C37A10">
                <w:rPr>
                  <w:rFonts w:ascii="Lato" w:eastAsia="Calibri" w:hAnsi="Lato"/>
                  <w:color w:val="0563C1"/>
                  <w:sz w:val="20"/>
                  <w:szCs w:val="20"/>
                  <w:u w:val="single"/>
                </w:rPr>
                <w:t>www.epeat.net</w:t>
              </w:r>
            </w:hyperlink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Epeat</w:t>
            </w:r>
            <w:proofErr w:type="spellEnd"/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Silver według normy wprowadzonej w 2019 roku </w:t>
            </w:r>
            <w:r w:rsidR="007D27D2"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dotyczącą potwierdzenia że, o</w:t>
            </w:r>
            <w:r w:rsidR="00AE5EAE"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ferowane produkty </w:t>
            </w:r>
            <w:r w:rsidR="007D27D2"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zawierają</w:t>
            </w:r>
            <w:r w:rsidR="00AE5EAE"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– </w:t>
            </w:r>
            <w:r w:rsidR="00AE5EAE" w:rsidRPr="00C37A10">
              <w:rPr>
                <w:rFonts w:ascii="Lato" w:eastAsia="Calibri" w:hAnsi="Lato"/>
                <w:b/>
                <w:color w:val="000000"/>
                <w:sz w:val="20"/>
                <w:szCs w:val="20"/>
              </w:rPr>
              <w:t>Wykonawca złoży dokument potwierdzający spełnianie wymogu.</w:t>
            </w:r>
          </w:p>
        </w:tc>
      </w:tr>
      <w:tr w:rsidR="00AE5EAE" w:rsidRPr="00C37A10" w14:paraId="3D74CBBA" w14:textId="77777777" w:rsidTr="00AB0646">
        <w:trPr>
          <w:trHeight w:val="98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980F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B56FB" w14:textId="77777777" w:rsidR="00AE5EAE" w:rsidRPr="00C37A10" w:rsidRDefault="00AE5EAE" w:rsidP="00AE5EA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Zamawiający wymaga dokumentacji w języku polskim lub angi</w:t>
            </w:r>
            <w:r w:rsidRPr="00C37A10">
              <w:rPr>
                <w:rFonts w:ascii="Lato" w:eastAsia="Calibri" w:hAnsi="Lato"/>
                <w:i/>
                <w:color w:val="000000"/>
                <w:sz w:val="20"/>
                <w:szCs w:val="20"/>
              </w:rPr>
              <w:t>e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lskim.</w:t>
            </w:r>
          </w:p>
        </w:tc>
      </w:tr>
      <w:tr w:rsidR="00AE5EAE" w:rsidRPr="00C37A10" w14:paraId="45B9B2E5" w14:textId="77777777" w:rsidTr="00AB0646">
        <w:trPr>
          <w:trHeight w:val="23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71D1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Warunki gwarancji</w:t>
            </w: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3132" w14:textId="77777777" w:rsidR="00AE5EAE" w:rsidRPr="00C37A10" w:rsidRDefault="00AE5EAE" w:rsidP="00AE5EA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jc w:val="both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>Zamawiający wymaga zapewnienia gwarancji Producenta na Sprzęt na okres 3 lat.</w:t>
            </w:r>
          </w:p>
          <w:p w14:paraId="76B335EF" w14:textId="77777777" w:rsidR="00AE5EAE" w:rsidRPr="00C37A10" w:rsidRDefault="00AE5EAE" w:rsidP="00AE5EA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Zamawiający oczekuje możliwości zgłaszania zdarzeń serwisowych w trybie </w:t>
            </w:r>
            <w:r w:rsidRPr="00C37A10">
              <w:rPr>
                <w:rFonts w:ascii="Lato" w:hAnsi="Lato" w:cs="Times New Roman"/>
                <w:sz w:val="20"/>
                <w:szCs w:val="20"/>
              </w:rPr>
              <w:t>5x8xNBD</w:t>
            </w:r>
            <w:r w:rsidRPr="00C37A10" w:rsidDel="0089392B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 </w:t>
            </w: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następującymi kanałami: telefonicznie i przez Internet. </w:t>
            </w:r>
          </w:p>
          <w:p w14:paraId="54290BE2" w14:textId="77777777" w:rsidR="00AE5EAE" w:rsidRPr="00C37A10" w:rsidRDefault="00AE5EAE" w:rsidP="00AE5EA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rPr>
                <w:rFonts w:ascii="Lato" w:hAnsi="Lato"/>
                <w:color w:val="000000"/>
                <w:sz w:val="20"/>
                <w:szCs w:val="20"/>
              </w:rPr>
            </w:pPr>
            <w:r w:rsidRPr="00C37A10">
              <w:rPr>
                <w:rFonts w:ascii="Lato" w:eastAsia="Calibri" w:hAnsi="Lato"/>
                <w:color w:val="000000"/>
                <w:sz w:val="20"/>
                <w:szCs w:val="20"/>
              </w:rPr>
              <w:t xml:space="preserve">Uszkodzone dyski zostają własnością zamawiającego. </w:t>
            </w:r>
          </w:p>
        </w:tc>
      </w:tr>
    </w:tbl>
    <w:p w14:paraId="0010D436" w14:textId="77777777" w:rsidR="00AE5EAE" w:rsidRPr="00C37A10" w:rsidRDefault="00AE5EAE" w:rsidP="00AE5EAE">
      <w:pPr>
        <w:rPr>
          <w:rFonts w:ascii="Lato" w:hAnsi="Lato"/>
          <w:sz w:val="20"/>
          <w:szCs w:val="20"/>
        </w:rPr>
      </w:pPr>
    </w:p>
    <w:p w14:paraId="20A9C701" w14:textId="77777777" w:rsidR="00AE5EAE" w:rsidRPr="00C37A10" w:rsidRDefault="00AE5EAE" w:rsidP="00AE5EAE">
      <w:pPr>
        <w:rPr>
          <w:rFonts w:ascii="Lato" w:hAnsi="Lato"/>
          <w:sz w:val="20"/>
          <w:szCs w:val="20"/>
        </w:rPr>
      </w:pPr>
    </w:p>
    <w:p w14:paraId="2C442B5C" w14:textId="77777777" w:rsidR="00AE5EAE" w:rsidRPr="00C37A10" w:rsidRDefault="00AE5EAE" w:rsidP="00AE5EAE">
      <w:pPr>
        <w:rPr>
          <w:rFonts w:ascii="Lato" w:hAnsi="Lato"/>
          <w:b/>
          <w:sz w:val="20"/>
          <w:szCs w:val="20"/>
        </w:rPr>
      </w:pPr>
      <w:r w:rsidRPr="00C37A10">
        <w:rPr>
          <w:rFonts w:ascii="Lato" w:hAnsi="Lato"/>
          <w:sz w:val="20"/>
          <w:szCs w:val="20"/>
        </w:rPr>
        <w:t xml:space="preserve"> </w:t>
      </w:r>
      <w:r w:rsidRPr="00C37A10">
        <w:rPr>
          <w:rFonts w:ascii="Lato" w:hAnsi="Lato"/>
          <w:b/>
          <w:sz w:val="20"/>
          <w:szCs w:val="20"/>
        </w:rPr>
        <w:t>Macierz i półka</w:t>
      </w:r>
    </w:p>
    <w:p w14:paraId="4E40402A" w14:textId="77777777" w:rsidR="00AE5EAE" w:rsidRPr="00C37A10" w:rsidRDefault="00AE5EAE" w:rsidP="00AE5EAE">
      <w:pPr>
        <w:rPr>
          <w:rFonts w:ascii="Lato" w:hAnsi="Lato"/>
          <w:b/>
          <w:sz w:val="20"/>
          <w:szCs w:val="20"/>
        </w:rPr>
      </w:pPr>
    </w:p>
    <w:tbl>
      <w:tblPr>
        <w:tblW w:w="104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1"/>
        <w:gridCol w:w="8358"/>
      </w:tblGrid>
      <w:tr w:rsidR="00AE5EAE" w:rsidRPr="00C37A10" w14:paraId="7613193A" w14:textId="77777777" w:rsidTr="00AB0646">
        <w:trPr>
          <w:jc w:val="center"/>
        </w:trPr>
        <w:tc>
          <w:tcPr>
            <w:tcW w:w="2131" w:type="dxa"/>
            <w:shd w:val="clear" w:color="auto" w:fill="B4C6E7"/>
            <w:vAlign w:val="center"/>
          </w:tcPr>
          <w:p w14:paraId="11EA59A3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Parametr</w:t>
            </w:r>
          </w:p>
        </w:tc>
        <w:tc>
          <w:tcPr>
            <w:tcW w:w="8358" w:type="dxa"/>
            <w:shd w:val="clear" w:color="auto" w:fill="B4C6E7"/>
            <w:vAlign w:val="center"/>
          </w:tcPr>
          <w:p w14:paraId="667D758A" w14:textId="77777777" w:rsidR="00AE5EAE" w:rsidRPr="00C37A10" w:rsidRDefault="00AE5EAE" w:rsidP="00AB0646">
            <w:pPr>
              <w:rPr>
                <w:rFonts w:ascii="Lato" w:hAnsi="Lato" w:cstheme="minorHAnsi"/>
                <w:b/>
                <w:i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Charakterystyka (wymagania minimalne)</w:t>
            </w:r>
          </w:p>
        </w:tc>
      </w:tr>
      <w:tr w:rsidR="00AE5EAE" w:rsidRPr="00C37A10" w14:paraId="607CCC55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BBCE10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0DD2FBB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Do  instalacji w standardowej szafie RACK 19”, macierz musi zajmować maksymalnie 2U i pozwalać na instalacje 24 dysków 2.5”.</w:t>
            </w:r>
          </w:p>
        </w:tc>
      </w:tr>
      <w:tr w:rsidR="00AE5EAE" w:rsidRPr="00C37A10" w14:paraId="1B8DF173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EB7C9F2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Kontrolery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CB266C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Dwa kontrolery RAID pracujące w układzie </w:t>
            </w:r>
            <w:proofErr w:type="spellStart"/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active-active</w:t>
            </w:r>
            <w:proofErr w:type="spellEnd"/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 posiadające łącznie minimum 8 portów 32Gb FC</w:t>
            </w:r>
          </w:p>
        </w:tc>
      </w:tr>
      <w:tr w:rsidR="00AE5EAE" w:rsidRPr="00C37A10" w14:paraId="61908E58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74980E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Wkładki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FA0B4F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Min. 4 wkładki 32Gb SFP+</w:t>
            </w:r>
          </w:p>
        </w:tc>
      </w:tr>
      <w:tr w:rsidR="00AE5EAE" w:rsidRPr="00C37A10" w14:paraId="38D3AF79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B1AC1A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Cache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2404AA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16GB na kontroler, pamięć cache zapisu mirrorowana między kontrolerami, podtrzymywana bateryjnie przez min. 72h w razie awarii.</w:t>
            </w:r>
          </w:p>
        </w:tc>
      </w:tr>
      <w:tr w:rsidR="00AE5EAE" w:rsidRPr="00C37A10" w14:paraId="6540380E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FF8AE7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Dyski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5808083" w14:textId="77777777" w:rsidR="00AE5EAE" w:rsidRPr="00C37A10" w:rsidRDefault="00AE5EAE" w:rsidP="00AB0646">
            <w:pPr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Zainstalowane:</w:t>
            </w:r>
          </w:p>
          <w:p w14:paraId="2DCEC4BC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48 dyski 2.4TB 10K RPM SAS 12Gbps 512e 2.5in Hot-plug Hard Drive (macierz oraz półka dyskowa).</w:t>
            </w:r>
          </w:p>
          <w:p w14:paraId="705E1B0A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Możliwość rozbudowy przez dokładanie kolejnych dysków/półek dyskowych do łącznie </w:t>
            </w:r>
            <w:r w:rsidRPr="00C37A10">
              <w:rPr>
                <w:rFonts w:ascii="Lato" w:eastAsia="Quattrocento Sans" w:hAnsi="Lato" w:cstheme="minorHAnsi"/>
                <w:b/>
                <w:sz w:val="20"/>
                <w:szCs w:val="20"/>
              </w:rPr>
              <w:t>minimum 276 dysków</w:t>
            </w: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. Możliwość mieszania typów dysków w obrębie macierzy oraz pojedynczej półki.</w:t>
            </w:r>
          </w:p>
        </w:tc>
      </w:tr>
      <w:tr w:rsidR="00AE5EAE" w:rsidRPr="00C37A10" w14:paraId="1DF23949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B360CD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Oprogramowanie/Funkcjonalności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959201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Zarządzanie macierzą poprzez minimum przeglądarkę internetową, GUI oparte o HTML5. </w:t>
            </w:r>
          </w:p>
          <w:p w14:paraId="140F222F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Macierz powinna zostać dostarczona z licencją umożliwiającą utworzenie minimum 512 </w:t>
            </w:r>
            <w:proofErr w:type="spellStart"/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LUN’ów</w:t>
            </w:r>
            <w:proofErr w:type="spellEnd"/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 oraz 1024 kopii migawkowych na całą macierz.</w:t>
            </w:r>
          </w:p>
          <w:p w14:paraId="239F152E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Konieczne jest posiadanie automatycznego, bez interwencji człowieka, rozkładania danych między dyskami poszczególnych typów (tzw. auto-</w:t>
            </w:r>
            <w:proofErr w:type="spellStart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tiering</w:t>
            </w:r>
            <w:proofErr w:type="spellEnd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). Dane muszą być automatycznie przemieszczane między rożnymi typami dysków.</w:t>
            </w:r>
          </w:p>
          <w:p w14:paraId="28FC50B7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Możliwość wykorzystania dysków SSD jako cache macierzy, możliwość rozbudowy pamięci cache do min. 8TB poprzez dyski SSD</w:t>
            </w:r>
            <w:r w:rsidRPr="00C37A10">
              <w:rPr>
                <w:rFonts w:ascii="Lato" w:eastAsia="Calibri" w:hAnsi="Lato" w:cstheme="minorHAnsi"/>
                <w:color w:val="000000"/>
                <w:sz w:val="20"/>
                <w:szCs w:val="20"/>
              </w:rPr>
              <w:t>.</w:t>
            </w: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 </w:t>
            </w:r>
          </w:p>
          <w:p w14:paraId="72B14F80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Licencja zaoferowanej macierzy powinna umożliwiać podłączanie minimum 8 hostów bez konieczności zakupu dodatkowych licencji. </w:t>
            </w:r>
          </w:p>
          <w:p w14:paraId="1743C53B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3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Macierz musi posiadać funkcjonalność zdalnej replikacji danych do macierzy tej samej rodziny w trybie asynchronicznym</w:t>
            </w: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.</w:t>
            </w:r>
          </w:p>
        </w:tc>
      </w:tr>
      <w:tr w:rsidR="00AE5EAE" w:rsidRPr="00C37A10" w14:paraId="0B9B9EB7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08C589E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Wsparcie dla systemów operacyjnych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330A0F4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</w:pP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Windows Server 2022, Red Hat Enterprise Linux (RHEL), SLES, </w:t>
            </w:r>
            <w:proofErr w:type="spellStart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Vmware</w:t>
            </w:r>
            <w:proofErr w:type="spellEnd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ESXi</w:t>
            </w:r>
            <w:proofErr w:type="spellEnd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 xml:space="preserve">, Citrix </w:t>
            </w:r>
            <w:proofErr w:type="spellStart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  <w:lang w:val="en-US"/>
              </w:rPr>
              <w:t>XenServer</w:t>
            </w:r>
            <w:proofErr w:type="spellEnd"/>
          </w:p>
        </w:tc>
      </w:tr>
      <w:tr w:rsidR="00AE5EAE" w:rsidRPr="00C37A10" w14:paraId="76449ED2" w14:textId="77777777" w:rsidTr="00AB0646">
        <w:trPr>
          <w:jc w:val="center"/>
        </w:trPr>
        <w:tc>
          <w:tcPr>
            <w:tcW w:w="2131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247F6F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Bezpieczeństwo</w:t>
            </w:r>
          </w:p>
        </w:tc>
        <w:tc>
          <w:tcPr>
            <w:tcW w:w="8358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F39C4ED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Ciągła praca obu kontrolerów nawet w przypadku zaniku jednej z faz zasilania. Zasilacze, wentylatory, kontrolery RAID redundantne.</w:t>
            </w:r>
          </w:p>
        </w:tc>
      </w:tr>
      <w:tr w:rsidR="00AE5EAE" w:rsidRPr="00C37A10" w14:paraId="163CA7F6" w14:textId="77777777" w:rsidTr="00AB0646">
        <w:trPr>
          <w:jc w:val="center"/>
        </w:trPr>
        <w:tc>
          <w:tcPr>
            <w:tcW w:w="2131" w:type="dxa"/>
            <w:vAlign w:val="center"/>
          </w:tcPr>
          <w:p w14:paraId="418DDF9E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Warunki gwarancji dla macierzy</w:t>
            </w:r>
          </w:p>
        </w:tc>
        <w:tc>
          <w:tcPr>
            <w:tcW w:w="8358" w:type="dxa"/>
            <w:vAlign w:val="center"/>
          </w:tcPr>
          <w:p w14:paraId="7AC877A7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3 lata gwarancji realizowanej w miejscu instalacji sprzętu, z czasem reakcji do następnego dnia roboczego od przyjęcia zgłoszenia, możliwość zgłaszania awarii w trybie 5x8xNBD poprzez ogólnopolską linię telefoniczną producenta. </w:t>
            </w:r>
          </w:p>
          <w:p w14:paraId="77A337E7" w14:textId="16F40F45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Zamawiający wymaga od </w:t>
            </w:r>
            <w:r w:rsidR="007D27D2"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Wykonawcy</w:t>
            </w: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 realizującego serwis lub producenta sprzętu </w:t>
            </w:r>
            <w:r w:rsidR="007D27D2"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świadczenia</w:t>
            </w: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, że w przypadku wystąpienia awarii dysku twardego w urządzeniu objętym aktywnym wparciem technicznym, uszkodzony dysk twardy pozostaje u Zamawiającego.</w:t>
            </w:r>
          </w:p>
          <w:p w14:paraId="4BA48B09" w14:textId="7321CEEC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Wymagane dołączenie do oferty oświadczenia </w:t>
            </w:r>
            <w:r w:rsidR="007D27D2"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Wykonawcy że, </w:t>
            </w: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Serwis urządzeń będzie realizowany bezpośrednio przez Producenta i/lub we współpracy z Autoryzowanym Partnerem Serwisowym Producenta.</w:t>
            </w:r>
          </w:p>
          <w:p w14:paraId="0276A453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>mikrokodu</w:t>
            </w:r>
            <w:proofErr w:type="spellEnd"/>
            <w:r w:rsidRPr="00C37A10">
              <w:rPr>
                <w:rFonts w:ascii="Lato" w:eastAsia="Quattrocento Sans" w:hAnsi="Lato" w:cstheme="minorHAnsi"/>
                <w:color w:val="000000"/>
                <w:sz w:val="20"/>
                <w:szCs w:val="20"/>
              </w:rPr>
              <w:t xml:space="preserve"> oraz sterowników  nawet w przypadku wygaśnięcia gwarancji macierzy.</w:t>
            </w:r>
          </w:p>
          <w:p w14:paraId="1C8AC5A4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Wszystkie naprawy gwarancyjne powinny być możliwe do realizacji na miejscu.</w:t>
            </w:r>
          </w:p>
          <w:p w14:paraId="12CCF4FB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Producent ponosi koszty napraw gwarancyjnych, włączając w to koszt części I transportu.</w:t>
            </w:r>
          </w:p>
          <w:p w14:paraId="5BDF07D7" w14:textId="7F553405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W czasie obowiązywania gwarancji Producent</w:t>
            </w:r>
            <w:r w:rsidR="006E2563">
              <w:rPr>
                <w:rFonts w:ascii="Lato" w:eastAsia="Quattrocento Sans" w:hAnsi="Lato" w:cstheme="minorHAnsi"/>
                <w:sz w:val="20"/>
                <w:szCs w:val="20"/>
              </w:rPr>
              <w:t xml:space="preserve"> </w:t>
            </w: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zobowiązany jest do udostępnienia Zamawiającemu nowych wersji BIOS, </w:t>
            </w:r>
            <w:proofErr w:type="spellStart"/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firmware</w:t>
            </w:r>
            <w:proofErr w:type="spellEnd"/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 xml:space="preserve"> i sterowników (na płytach CD lub stronach internetowych).</w:t>
            </w:r>
          </w:p>
        </w:tc>
      </w:tr>
      <w:tr w:rsidR="00AE5EAE" w:rsidRPr="00C37A10" w14:paraId="38416A22" w14:textId="77777777" w:rsidTr="00AB0646">
        <w:trPr>
          <w:trHeight w:val="230"/>
          <w:jc w:val="center"/>
        </w:trPr>
        <w:tc>
          <w:tcPr>
            <w:tcW w:w="2131" w:type="dxa"/>
          </w:tcPr>
          <w:p w14:paraId="30044E94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8358" w:type="dxa"/>
          </w:tcPr>
          <w:p w14:paraId="30473ECF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eastAsia="Quattrocento Sans" w:hAnsi="Lato" w:cstheme="minorHAnsi"/>
                <w:sz w:val="20"/>
                <w:szCs w:val="20"/>
              </w:rPr>
            </w:pPr>
            <w:r w:rsidRPr="00C37A10">
              <w:rPr>
                <w:rFonts w:ascii="Lato" w:eastAsia="Quattrocento Sans" w:hAnsi="Lato" w:cstheme="minorHAnsi"/>
                <w:sz w:val="20"/>
                <w:szCs w:val="20"/>
              </w:rPr>
              <w:t>Zamawiający wymaga dokumentacji w języku polskim lub angielskim</w:t>
            </w:r>
          </w:p>
        </w:tc>
      </w:tr>
      <w:tr w:rsidR="00AE5EAE" w:rsidRPr="00C37A10" w14:paraId="25E75296" w14:textId="77777777" w:rsidTr="00AB0646">
        <w:trPr>
          <w:jc w:val="center"/>
        </w:trPr>
        <w:tc>
          <w:tcPr>
            <w:tcW w:w="2131" w:type="dxa"/>
            <w:vAlign w:val="center"/>
          </w:tcPr>
          <w:p w14:paraId="40917983" w14:textId="77777777" w:rsidR="00AE5EAE" w:rsidRPr="00C37A10" w:rsidRDefault="00AE5EAE" w:rsidP="00AB0646">
            <w:pPr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b/>
                <w:sz w:val="20"/>
                <w:szCs w:val="20"/>
              </w:rPr>
              <w:t>Certyfikaty</w:t>
            </w:r>
          </w:p>
        </w:tc>
        <w:tc>
          <w:tcPr>
            <w:tcW w:w="8358" w:type="dxa"/>
            <w:vAlign w:val="center"/>
          </w:tcPr>
          <w:p w14:paraId="27EF644B" w14:textId="77777777" w:rsidR="00AE5EAE" w:rsidRPr="00C37A10" w:rsidRDefault="00AE5EAE" w:rsidP="00AE5EAE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E w:val="0"/>
              <w:spacing w:before="120" w:after="0" w:line="240" w:lineRule="auto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C37A10">
              <w:rPr>
                <w:rFonts w:ascii="Lato" w:hAnsi="Lato" w:cstheme="minorHAnsi"/>
                <w:sz w:val="20"/>
                <w:szCs w:val="20"/>
              </w:rPr>
              <w:t xml:space="preserve">Macierz musi być wyprodukowana zgodnie z normą  ISO 9001:2015. </w:t>
            </w:r>
          </w:p>
        </w:tc>
      </w:tr>
    </w:tbl>
    <w:p w14:paraId="1A2FD896" w14:textId="77777777" w:rsidR="000A0F6F" w:rsidRPr="00C37A10" w:rsidRDefault="000A0F6F" w:rsidP="008275C1">
      <w:pPr>
        <w:rPr>
          <w:rFonts w:ascii="Lato" w:hAnsi="Lato" w:cs="Times New Roman"/>
          <w:sz w:val="20"/>
          <w:szCs w:val="20"/>
        </w:rPr>
      </w:pPr>
      <w:bookmarkStart w:id="7" w:name="_GoBack"/>
      <w:bookmarkEnd w:id="7"/>
    </w:p>
    <w:sectPr w:rsidR="000A0F6F" w:rsidRPr="00C37A10" w:rsidSect="003A767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C0B8D" w14:textId="77777777" w:rsidR="00AB6760" w:rsidRDefault="00AB6760" w:rsidP="00AB6760">
      <w:pPr>
        <w:spacing w:after="0" w:line="240" w:lineRule="auto"/>
      </w:pPr>
      <w:r>
        <w:separator/>
      </w:r>
    </w:p>
  </w:endnote>
  <w:endnote w:type="continuationSeparator" w:id="0">
    <w:p w14:paraId="2065AF38" w14:textId="77777777" w:rsidR="00AB6760" w:rsidRDefault="00AB6760" w:rsidP="00AB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Quattrocento San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5446092"/>
      <w:docPartObj>
        <w:docPartGallery w:val="Page Numbers (Bottom of Page)"/>
        <w:docPartUnique/>
      </w:docPartObj>
    </w:sdtPr>
    <w:sdtEndPr/>
    <w:sdtContent>
      <w:p w14:paraId="1D0BF354" w14:textId="21B6754F" w:rsidR="006F3260" w:rsidRDefault="006F32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7C3D7D" w14:textId="77777777" w:rsidR="00AB6760" w:rsidRDefault="00AB6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77095" w14:textId="77777777" w:rsidR="00AB6760" w:rsidRDefault="00AB6760" w:rsidP="00AB6760">
      <w:pPr>
        <w:spacing w:after="0" w:line="240" w:lineRule="auto"/>
      </w:pPr>
      <w:r>
        <w:separator/>
      </w:r>
    </w:p>
  </w:footnote>
  <w:footnote w:type="continuationSeparator" w:id="0">
    <w:p w14:paraId="76ED1B32" w14:textId="77777777" w:rsidR="00AB6760" w:rsidRDefault="00AB6760" w:rsidP="00AB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CD406" w14:textId="1F4B2ECA" w:rsidR="00AB6760" w:rsidRDefault="00AB6760">
    <w:pPr>
      <w:pStyle w:val="Nagwek"/>
    </w:pPr>
    <w:r>
      <w:t>BA.V.260.11.2025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B7818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AB7599"/>
    <w:multiLevelType w:val="multilevel"/>
    <w:tmpl w:val="980696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3515FE"/>
    <w:multiLevelType w:val="multilevel"/>
    <w:tmpl w:val="CD2A45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0607C3"/>
    <w:multiLevelType w:val="multilevel"/>
    <w:tmpl w:val="D8B65F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D9D4F10"/>
    <w:multiLevelType w:val="multilevel"/>
    <w:tmpl w:val="D3DC22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EAD1C44"/>
    <w:multiLevelType w:val="multilevel"/>
    <w:tmpl w:val="08EA5D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1E2361"/>
    <w:multiLevelType w:val="multilevel"/>
    <w:tmpl w:val="D774FD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DF564A"/>
    <w:multiLevelType w:val="multilevel"/>
    <w:tmpl w:val="1B8C1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7216221"/>
    <w:multiLevelType w:val="multilevel"/>
    <w:tmpl w:val="C898F2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AA7ED9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8F538D"/>
    <w:multiLevelType w:val="multilevel"/>
    <w:tmpl w:val="3182C1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D6361E"/>
    <w:multiLevelType w:val="multilevel"/>
    <w:tmpl w:val="C03C31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8C74CC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8039B7"/>
    <w:multiLevelType w:val="multilevel"/>
    <w:tmpl w:val="BA2CAD72"/>
    <w:lvl w:ilvl="0">
      <w:start w:val="1"/>
      <w:numFmt w:val="bullet"/>
      <w:lvlText w:val="Ÿ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40AA6B42"/>
    <w:multiLevelType w:val="multilevel"/>
    <w:tmpl w:val="152C87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7930619"/>
    <w:multiLevelType w:val="hybridMultilevel"/>
    <w:tmpl w:val="2614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764515"/>
    <w:multiLevelType w:val="multilevel"/>
    <w:tmpl w:val="02DAC7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8661BA3"/>
    <w:multiLevelType w:val="hybridMultilevel"/>
    <w:tmpl w:val="E04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030AD"/>
    <w:multiLevelType w:val="hybridMultilevel"/>
    <w:tmpl w:val="289C47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C34AB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91591D"/>
    <w:multiLevelType w:val="hybridMultilevel"/>
    <w:tmpl w:val="E6C21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C0562"/>
    <w:multiLevelType w:val="multilevel"/>
    <w:tmpl w:val="20F6E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F321398"/>
    <w:multiLevelType w:val="multilevel"/>
    <w:tmpl w:val="DE560DE6"/>
    <w:lvl w:ilvl="0">
      <w:start w:val="1"/>
      <w:numFmt w:val="bullet"/>
      <w:lvlText w:val="Ÿ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728B11CA"/>
    <w:multiLevelType w:val="multilevel"/>
    <w:tmpl w:val="6AC8F8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AFC558F"/>
    <w:multiLevelType w:val="multilevel"/>
    <w:tmpl w:val="1400B7E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6"/>
  </w:num>
  <w:num w:numId="5">
    <w:abstractNumId w:val="7"/>
  </w:num>
  <w:num w:numId="6">
    <w:abstractNumId w:val="23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3"/>
  </w:num>
  <w:num w:numId="12">
    <w:abstractNumId w:val="5"/>
  </w:num>
  <w:num w:numId="13">
    <w:abstractNumId w:val="1"/>
  </w:num>
  <w:num w:numId="14">
    <w:abstractNumId w:val="14"/>
  </w:num>
  <w:num w:numId="15">
    <w:abstractNumId w:val="4"/>
  </w:num>
  <w:num w:numId="16">
    <w:abstractNumId w:val="8"/>
  </w:num>
  <w:num w:numId="17">
    <w:abstractNumId w:val="24"/>
  </w:num>
  <w:num w:numId="18">
    <w:abstractNumId w:val="22"/>
  </w:num>
  <w:num w:numId="19">
    <w:abstractNumId w:val="13"/>
  </w:num>
  <w:num w:numId="20">
    <w:abstractNumId w:val="20"/>
  </w:num>
  <w:num w:numId="21">
    <w:abstractNumId w:val="9"/>
  </w:num>
  <w:num w:numId="22">
    <w:abstractNumId w:val="21"/>
  </w:num>
  <w:num w:numId="23">
    <w:abstractNumId w:val="12"/>
  </w:num>
  <w:num w:numId="24">
    <w:abstractNumId w:val="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C3"/>
    <w:rsid w:val="0000078B"/>
    <w:rsid w:val="000800C3"/>
    <w:rsid w:val="000A0F6F"/>
    <w:rsid w:val="00173E7B"/>
    <w:rsid w:val="0017768F"/>
    <w:rsid w:val="001B46C5"/>
    <w:rsid w:val="001D0339"/>
    <w:rsid w:val="0025344F"/>
    <w:rsid w:val="00276A28"/>
    <w:rsid w:val="002A21FD"/>
    <w:rsid w:val="002C41DB"/>
    <w:rsid w:val="002D420C"/>
    <w:rsid w:val="002F546E"/>
    <w:rsid w:val="003A7675"/>
    <w:rsid w:val="003C37B2"/>
    <w:rsid w:val="00421186"/>
    <w:rsid w:val="00431D20"/>
    <w:rsid w:val="00446CCC"/>
    <w:rsid w:val="00455600"/>
    <w:rsid w:val="00463AC0"/>
    <w:rsid w:val="00476544"/>
    <w:rsid w:val="004A5205"/>
    <w:rsid w:val="004D301E"/>
    <w:rsid w:val="004D5298"/>
    <w:rsid w:val="004F427F"/>
    <w:rsid w:val="0053500B"/>
    <w:rsid w:val="005807D1"/>
    <w:rsid w:val="0058376B"/>
    <w:rsid w:val="005864E3"/>
    <w:rsid w:val="005873D5"/>
    <w:rsid w:val="005964EE"/>
    <w:rsid w:val="005D2A7A"/>
    <w:rsid w:val="005F439B"/>
    <w:rsid w:val="006624D1"/>
    <w:rsid w:val="00662903"/>
    <w:rsid w:val="00680FF5"/>
    <w:rsid w:val="006934E1"/>
    <w:rsid w:val="006A1EF4"/>
    <w:rsid w:val="006D161A"/>
    <w:rsid w:val="006E2563"/>
    <w:rsid w:val="006F3260"/>
    <w:rsid w:val="007201BA"/>
    <w:rsid w:val="007478F7"/>
    <w:rsid w:val="0076714B"/>
    <w:rsid w:val="00793AFE"/>
    <w:rsid w:val="007A5B90"/>
    <w:rsid w:val="007A755C"/>
    <w:rsid w:val="007B2910"/>
    <w:rsid w:val="007D27D2"/>
    <w:rsid w:val="007E6D16"/>
    <w:rsid w:val="00812019"/>
    <w:rsid w:val="0082380E"/>
    <w:rsid w:val="008275C1"/>
    <w:rsid w:val="008313F8"/>
    <w:rsid w:val="008964B9"/>
    <w:rsid w:val="0092652D"/>
    <w:rsid w:val="00960AAC"/>
    <w:rsid w:val="00974ABA"/>
    <w:rsid w:val="009A579C"/>
    <w:rsid w:val="009B018D"/>
    <w:rsid w:val="009B14CE"/>
    <w:rsid w:val="00A150F0"/>
    <w:rsid w:val="00A36783"/>
    <w:rsid w:val="00A52061"/>
    <w:rsid w:val="00A63A76"/>
    <w:rsid w:val="00A67568"/>
    <w:rsid w:val="00A832F5"/>
    <w:rsid w:val="00AB6760"/>
    <w:rsid w:val="00AE2F7A"/>
    <w:rsid w:val="00AE5EAE"/>
    <w:rsid w:val="00AF02E0"/>
    <w:rsid w:val="00B47136"/>
    <w:rsid w:val="00B80BFC"/>
    <w:rsid w:val="00BB2463"/>
    <w:rsid w:val="00BB2CC0"/>
    <w:rsid w:val="00BB51FF"/>
    <w:rsid w:val="00BC1256"/>
    <w:rsid w:val="00BC4B12"/>
    <w:rsid w:val="00BC760B"/>
    <w:rsid w:val="00BF5859"/>
    <w:rsid w:val="00C35F7A"/>
    <w:rsid w:val="00C37A10"/>
    <w:rsid w:val="00C84964"/>
    <w:rsid w:val="00CB6BC3"/>
    <w:rsid w:val="00CE4EEA"/>
    <w:rsid w:val="00CF0860"/>
    <w:rsid w:val="00D36F2E"/>
    <w:rsid w:val="00D778A9"/>
    <w:rsid w:val="00D92CEB"/>
    <w:rsid w:val="00DD22DA"/>
    <w:rsid w:val="00E56782"/>
    <w:rsid w:val="00E62307"/>
    <w:rsid w:val="00E83137"/>
    <w:rsid w:val="00E8345F"/>
    <w:rsid w:val="00E92C0A"/>
    <w:rsid w:val="00EB1E49"/>
    <w:rsid w:val="00EE49AD"/>
    <w:rsid w:val="00F0528B"/>
    <w:rsid w:val="00F3644A"/>
    <w:rsid w:val="00F55DF6"/>
    <w:rsid w:val="00FB7498"/>
    <w:rsid w:val="00FE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AC7E"/>
  <w15:docId w15:val="{CF9D72DB-6136-4996-9C46-02A73F89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20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800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00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74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00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Akapit z listą BS,Akapit z listą31,BulletC,Bullets,L1,List Paragraph1,List Paragraph2,List Paragraph_0,Numerowanie,Obiekt,Preambuła,T_SZ_List Paragraph,WYPUNKTOWANIE Akapit z listą,Wyliczanie,Wypunktowanie,normalny tekst,sw tekst,CW_Lista"/>
    <w:basedOn w:val="Normalny"/>
    <w:link w:val="AkapitzlistZnak"/>
    <w:uiPriority w:val="34"/>
    <w:qFormat/>
    <w:rsid w:val="000800C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00C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egenda">
    <w:name w:val="caption"/>
    <w:basedOn w:val="Normalny"/>
    <w:next w:val="Normalny"/>
    <w:uiPriority w:val="35"/>
    <w:unhideWhenUsed/>
    <w:qFormat/>
    <w:rsid w:val="00FB74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749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4D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1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1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1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1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186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AE5EAE"/>
    <w:pPr>
      <w:widowControl w:val="0"/>
      <w:suppressAutoHyphens/>
      <w:autoSpaceDE w:val="0"/>
      <w:spacing w:before="120" w:after="120" w:line="240" w:lineRule="auto"/>
      <w:ind w:left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5EAE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E5EAE"/>
    <w:pPr>
      <w:widowControl w:val="0"/>
      <w:suppressAutoHyphens/>
      <w:autoSpaceDE w:val="0"/>
      <w:spacing w:before="120" w:after="120" w:line="240" w:lineRule="auto"/>
      <w:ind w:left="283"/>
      <w:jc w:val="both"/>
    </w:pPr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5EAE"/>
    <w:rPr>
      <w:rFonts w:ascii="Times New Roman" w:eastAsia="Times New Roman" w:hAnsi="Times New Roman" w:cs="Calibri"/>
      <w:sz w:val="16"/>
      <w:szCs w:val="16"/>
      <w:lang w:eastAsia="ar-SA"/>
    </w:rPr>
  </w:style>
  <w:style w:type="character" w:customStyle="1" w:styleId="AkapitzlistZnak">
    <w:name w:val="Akapit z listą Znak"/>
    <w:aliases w:val="Akapit z listą BS Znak,Akapit z listą31 Znak,BulletC Znak,Bullets Znak,L1 Znak,List Paragraph1 Znak,List Paragraph2 Znak,List Paragraph_0 Znak,Numerowanie Znak,Obiekt Znak,Preambuła Znak,T_SZ_List Paragraph Znak,Wyliczanie Znak"/>
    <w:link w:val="Akapitzlist"/>
    <w:uiPriority w:val="34"/>
    <w:qFormat/>
    <w:locked/>
    <w:rsid w:val="00AE5EAE"/>
  </w:style>
  <w:style w:type="paragraph" w:styleId="Nagwek">
    <w:name w:val="header"/>
    <w:basedOn w:val="Normalny"/>
    <w:link w:val="NagwekZnak"/>
    <w:uiPriority w:val="99"/>
    <w:unhideWhenUsed/>
    <w:rsid w:val="00AB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760"/>
  </w:style>
  <w:style w:type="paragraph" w:styleId="Stopka">
    <w:name w:val="footer"/>
    <w:basedOn w:val="Normalny"/>
    <w:link w:val="StopkaZnak"/>
    <w:uiPriority w:val="99"/>
    <w:unhideWhenUsed/>
    <w:rsid w:val="00AB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peat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513D8E-F640-4C21-B8ED-3168CB64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2719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Wojsym Jacek</dc:creator>
  <cp:lastModifiedBy>Boruc Wlodzimierz</cp:lastModifiedBy>
  <cp:revision>11</cp:revision>
  <dcterms:created xsi:type="dcterms:W3CDTF">2025-06-13T10:56:00Z</dcterms:created>
  <dcterms:modified xsi:type="dcterms:W3CDTF">2025-07-01T06:59:00Z</dcterms:modified>
</cp:coreProperties>
</file>